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C8" w:rsidRPr="00663FC8" w:rsidRDefault="00663FC8" w:rsidP="00663FC8">
      <w:pPr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663FC8">
        <w:rPr>
          <w:rFonts w:ascii="Arial" w:hAnsi="Arial" w:cs="Arial"/>
          <w:b/>
          <w:smallCaps/>
          <w:sz w:val="28"/>
          <w:szCs w:val="28"/>
        </w:rPr>
        <w:t>Titolo</w:t>
      </w:r>
    </w:p>
    <w:p w:rsidR="00663FC8" w:rsidRPr="00663FC8" w:rsidRDefault="002B2ACC" w:rsidP="00663F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Cs/>
        </w:rPr>
        <w:t>IL WORKSHOP</w:t>
      </w:r>
      <w:r w:rsidR="005C36E8">
        <w:rPr>
          <w:rFonts w:ascii="Arial" w:hAnsi="Arial" w:cs="Arial"/>
          <w:b/>
          <w:iCs/>
        </w:rPr>
        <w:t xml:space="preserve"> del </w:t>
      </w:r>
      <w:r w:rsidR="00663FC8" w:rsidRPr="00663FC8">
        <w:rPr>
          <w:rFonts w:ascii="Arial" w:hAnsi="Arial" w:cs="Arial"/>
          <w:b/>
          <w:sz w:val="28"/>
          <w:szCs w:val="28"/>
        </w:rPr>
        <w:t>Gruppo di esperti nazionali ECVET</w:t>
      </w:r>
    </w:p>
    <w:p w:rsidR="005C36E8" w:rsidRDefault="005C36E8" w:rsidP="00663F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“L</w:t>
      </w:r>
      <w:r w:rsidR="002E3CDD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sperimentazion</w:t>
      </w:r>
      <w:r w:rsidR="002E3CDD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di ECVET</w:t>
      </w:r>
      <w:r w:rsidR="002E3CDD">
        <w:rPr>
          <w:rFonts w:ascii="Arial" w:hAnsi="Arial" w:cs="Arial"/>
          <w:b/>
          <w:sz w:val="28"/>
          <w:szCs w:val="28"/>
        </w:rPr>
        <w:t>: strumenti e strategie per la mobilità e il riconoscimento delle competenze</w:t>
      </w:r>
      <w:r>
        <w:rPr>
          <w:rFonts w:ascii="Arial" w:hAnsi="Arial" w:cs="Arial"/>
          <w:b/>
          <w:sz w:val="28"/>
          <w:szCs w:val="28"/>
        </w:rPr>
        <w:t>”</w:t>
      </w:r>
    </w:p>
    <w:p w:rsidR="00663FC8" w:rsidRPr="00663FC8" w:rsidRDefault="00B74B36" w:rsidP="00663FC8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b/>
          <w:sz w:val="28"/>
          <w:szCs w:val="28"/>
        </w:rPr>
        <w:t xml:space="preserve">Trieste, </w:t>
      </w:r>
      <w:r w:rsidR="002E3CDD">
        <w:rPr>
          <w:rFonts w:ascii="Arial" w:hAnsi="Arial" w:cs="Arial"/>
          <w:b/>
          <w:sz w:val="28"/>
          <w:szCs w:val="28"/>
        </w:rPr>
        <w:t>9 Luglio 2013</w:t>
      </w: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663FC8">
        <w:rPr>
          <w:rFonts w:ascii="Arial" w:hAnsi="Arial" w:cs="Arial"/>
          <w:b/>
          <w:smallCaps/>
          <w:sz w:val="28"/>
          <w:szCs w:val="28"/>
        </w:rPr>
        <w:t xml:space="preserve">Sede:  </w:t>
      </w:r>
    </w:p>
    <w:p w:rsidR="00663FC8" w:rsidRPr="00663FC8" w:rsidRDefault="00B74B36" w:rsidP="00663F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NH Hotel (Corso Cavour, 7)</w:t>
      </w:r>
    </w:p>
    <w:p w:rsid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B74B36" w:rsidRDefault="00B74B36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B74B36" w:rsidRPr="00663FC8" w:rsidRDefault="00B74B36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  <w:r w:rsidRPr="00663FC8">
        <w:rPr>
          <w:rFonts w:ascii="Arial" w:hAnsi="Arial" w:cs="Arial"/>
          <w:b/>
          <w:smallCaps/>
        </w:rPr>
        <w:t>Concept Note</w:t>
      </w:r>
    </w:p>
    <w:p w:rsidR="00663FC8" w:rsidRPr="00663FC8" w:rsidRDefault="00663FC8">
      <w:pPr>
        <w:rPr>
          <w:rFonts w:ascii="Arial" w:hAnsi="Arial" w:cs="Arial"/>
        </w:rPr>
      </w:pPr>
    </w:p>
    <w:p w:rsidR="00892B7C" w:rsidRDefault="0029732E" w:rsidP="00836B19">
      <w:pPr>
        <w:rPr>
          <w:rFonts w:ascii="Arial" w:hAnsi="Arial" w:cs="Arial"/>
          <w:bCs/>
          <w:spacing w:val="-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1577975</wp:posOffset>
            </wp:positionV>
            <wp:extent cx="1571625" cy="657225"/>
            <wp:effectExtent l="19050" t="0" r="9525" b="0"/>
            <wp:wrapSquare wrapText="bothSides"/>
            <wp:docPr id="3" name="Immagine 2" descr="LogoIsf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sf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C8">
        <w:br w:type="page"/>
      </w:r>
    </w:p>
    <w:p w:rsidR="00892B7C" w:rsidRDefault="00892B7C" w:rsidP="00663FC8">
      <w:pPr>
        <w:tabs>
          <w:tab w:val="left" w:pos="993"/>
        </w:tabs>
        <w:jc w:val="both"/>
        <w:outlineLvl w:val="0"/>
        <w:rPr>
          <w:rFonts w:ascii="Arial" w:hAnsi="Arial" w:cs="Arial"/>
          <w:bCs/>
          <w:spacing w:val="-3"/>
        </w:rPr>
      </w:pPr>
    </w:p>
    <w:p w:rsidR="00663FC8" w:rsidRDefault="00663FC8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L’evento si inserisce tra le attività programmate dal </w:t>
      </w:r>
      <w:r w:rsidR="00737CD0">
        <w:rPr>
          <w:rFonts w:ascii="Arial" w:hAnsi="Arial" w:cs="Arial"/>
          <w:bCs/>
          <w:spacing w:val="-3"/>
        </w:rPr>
        <w:t>Gruppo di esperti nazionali ECVET 2012-2013</w:t>
      </w:r>
      <w:r>
        <w:rPr>
          <w:rFonts w:ascii="Arial" w:hAnsi="Arial" w:cs="Arial"/>
          <w:bCs/>
          <w:spacing w:val="-3"/>
        </w:rPr>
        <w:t xml:space="preserve"> che l’Isfol – Agenzia </w:t>
      </w:r>
      <w:r w:rsidR="00305120">
        <w:rPr>
          <w:rFonts w:ascii="Arial" w:hAnsi="Arial" w:cs="Arial"/>
          <w:bCs/>
          <w:spacing w:val="-3"/>
        </w:rPr>
        <w:t xml:space="preserve">Nazionale </w:t>
      </w:r>
      <w:r>
        <w:rPr>
          <w:rFonts w:ascii="Arial" w:hAnsi="Arial" w:cs="Arial"/>
          <w:bCs/>
          <w:spacing w:val="-3"/>
        </w:rPr>
        <w:t xml:space="preserve">Leonardo da Vinci ha l’incarico di coordinare per conto dell’EACEA. </w:t>
      </w:r>
    </w:p>
    <w:p w:rsidR="00663FC8" w:rsidRDefault="005C36E8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Il workshop</w:t>
      </w:r>
      <w:r w:rsidR="00663FC8">
        <w:rPr>
          <w:rFonts w:ascii="Arial" w:hAnsi="Arial" w:cs="Arial"/>
          <w:bCs/>
          <w:spacing w:val="-3"/>
        </w:rPr>
        <w:t xml:space="preserve"> si inquadra nelle numerose attività di formazione e confronto </w:t>
      </w:r>
      <w:r w:rsidR="00681A67">
        <w:rPr>
          <w:rFonts w:ascii="Arial" w:hAnsi="Arial" w:cs="Arial"/>
          <w:bCs/>
          <w:spacing w:val="-3"/>
        </w:rPr>
        <w:t xml:space="preserve">a livello locale, nazionale e internazionale </w:t>
      </w:r>
      <w:r w:rsidR="00663FC8">
        <w:rPr>
          <w:rFonts w:ascii="Arial" w:hAnsi="Arial" w:cs="Arial"/>
          <w:bCs/>
          <w:spacing w:val="-3"/>
        </w:rPr>
        <w:t xml:space="preserve">che il progetto ha previsto di realizzare nel corso delle annualità </w:t>
      </w:r>
      <w:r w:rsidR="002F46D4">
        <w:rPr>
          <w:rFonts w:ascii="Arial" w:hAnsi="Arial" w:cs="Arial"/>
          <w:bCs/>
          <w:spacing w:val="-3"/>
        </w:rPr>
        <w:t>previste dall’incarico</w:t>
      </w:r>
      <w:r w:rsidR="00681A67">
        <w:rPr>
          <w:rFonts w:ascii="Arial" w:hAnsi="Arial" w:cs="Arial"/>
          <w:bCs/>
          <w:spacing w:val="-3"/>
        </w:rPr>
        <w:t>.</w:t>
      </w:r>
    </w:p>
    <w:p w:rsidR="00AB27A8" w:rsidRDefault="002F46D4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Obiettivo della giornata è </w:t>
      </w:r>
      <w:r w:rsidR="00663FC8">
        <w:rPr>
          <w:rFonts w:ascii="Arial" w:hAnsi="Arial" w:cs="Arial"/>
          <w:bCs/>
          <w:spacing w:val="-3"/>
        </w:rPr>
        <w:t>di</w:t>
      </w:r>
      <w:r>
        <w:rPr>
          <w:rFonts w:ascii="Arial" w:hAnsi="Arial" w:cs="Arial"/>
          <w:bCs/>
          <w:spacing w:val="-3"/>
        </w:rPr>
        <w:t xml:space="preserve"> </w:t>
      </w:r>
      <w:r w:rsidR="008345CD">
        <w:rPr>
          <w:rFonts w:ascii="Arial" w:hAnsi="Arial" w:cs="Arial"/>
          <w:bCs/>
          <w:spacing w:val="-3"/>
        </w:rPr>
        <w:t>proseguire</w:t>
      </w:r>
      <w:r>
        <w:rPr>
          <w:rFonts w:ascii="Arial" w:hAnsi="Arial" w:cs="Arial"/>
          <w:bCs/>
          <w:spacing w:val="-3"/>
        </w:rPr>
        <w:t xml:space="preserve"> il confronto e lo scambio di conoscenze e metodologie sull’implementazione </w:t>
      </w:r>
      <w:r w:rsidR="00663FC8" w:rsidRPr="00663FC8">
        <w:rPr>
          <w:rFonts w:ascii="Arial" w:hAnsi="Arial" w:cs="Arial"/>
          <w:bCs/>
          <w:spacing w:val="-3"/>
        </w:rPr>
        <w:t>di ECVET (a livello locale e nazionale</w:t>
      </w:r>
      <w:r w:rsidR="00B74B36">
        <w:rPr>
          <w:rFonts w:ascii="Arial" w:hAnsi="Arial" w:cs="Arial"/>
          <w:bCs/>
          <w:spacing w:val="-3"/>
        </w:rPr>
        <w:t>)</w:t>
      </w:r>
      <w:r w:rsidR="008345CD">
        <w:rPr>
          <w:rFonts w:ascii="Arial" w:hAnsi="Arial" w:cs="Arial"/>
          <w:bCs/>
          <w:spacing w:val="-3"/>
        </w:rPr>
        <w:t xml:space="preserve"> e sui </w:t>
      </w:r>
      <w:r w:rsidR="00AB27A8">
        <w:rPr>
          <w:rFonts w:ascii="Arial" w:hAnsi="Arial" w:cs="Arial"/>
          <w:bCs/>
          <w:spacing w:val="-3"/>
        </w:rPr>
        <w:t xml:space="preserve">suoi </w:t>
      </w:r>
      <w:r w:rsidR="008345CD">
        <w:rPr>
          <w:rFonts w:ascii="Arial" w:hAnsi="Arial" w:cs="Arial"/>
          <w:bCs/>
          <w:spacing w:val="-3"/>
        </w:rPr>
        <w:t xml:space="preserve">possibili ambiti </w:t>
      </w:r>
      <w:r w:rsidR="009F54FF">
        <w:rPr>
          <w:rFonts w:ascii="Arial" w:hAnsi="Arial" w:cs="Arial"/>
          <w:bCs/>
          <w:spacing w:val="-3"/>
        </w:rPr>
        <w:t xml:space="preserve">di applicazione </w:t>
      </w:r>
      <w:r w:rsidR="00033E83">
        <w:rPr>
          <w:rFonts w:ascii="Arial" w:hAnsi="Arial" w:cs="Arial"/>
          <w:bCs/>
          <w:spacing w:val="-3"/>
        </w:rPr>
        <w:t xml:space="preserve">con particolare attenzione </w:t>
      </w:r>
      <w:r w:rsidR="00AB27A8">
        <w:rPr>
          <w:rFonts w:ascii="Arial" w:hAnsi="Arial" w:cs="Arial"/>
          <w:bCs/>
          <w:spacing w:val="-3"/>
        </w:rPr>
        <w:t>all’uso dei dispositivi di trasparenza e</w:t>
      </w:r>
      <w:r w:rsidR="00AB27A8" w:rsidRPr="00AB27A8">
        <w:rPr>
          <w:rFonts w:ascii="Arial" w:hAnsi="Arial" w:cs="Arial"/>
          <w:bCs/>
          <w:spacing w:val="-3"/>
        </w:rPr>
        <w:t xml:space="preserve"> </w:t>
      </w:r>
      <w:r w:rsidR="00AB27A8">
        <w:rPr>
          <w:rFonts w:ascii="Arial" w:hAnsi="Arial" w:cs="Arial"/>
          <w:bCs/>
          <w:spacing w:val="-3"/>
        </w:rPr>
        <w:t>riconoscimento delle competenze a supporto dei processi di mobilità.</w:t>
      </w:r>
    </w:p>
    <w:p w:rsidR="00892B7C" w:rsidRDefault="00B74B36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L’evento</w:t>
      </w:r>
      <w:r w:rsidR="002F46D4">
        <w:rPr>
          <w:rFonts w:ascii="Arial" w:hAnsi="Arial" w:cs="Arial"/>
          <w:bCs/>
          <w:spacing w:val="-3"/>
        </w:rPr>
        <w:t xml:space="preserve"> si configura </w:t>
      </w:r>
      <w:r w:rsidR="00CE0EFA">
        <w:rPr>
          <w:rFonts w:ascii="Arial" w:hAnsi="Arial" w:cs="Arial"/>
          <w:bCs/>
          <w:spacing w:val="-3"/>
        </w:rPr>
        <w:t xml:space="preserve">come </w:t>
      </w:r>
      <w:r w:rsidR="002E3CDD">
        <w:rPr>
          <w:rFonts w:ascii="Arial" w:hAnsi="Arial" w:cs="Arial"/>
          <w:bCs/>
          <w:spacing w:val="-3"/>
        </w:rPr>
        <w:t>quarto</w:t>
      </w:r>
      <w:r w:rsidR="00CE0EFA"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</w:rPr>
        <w:t>workshop</w:t>
      </w:r>
      <w:r w:rsidR="00CE0EFA">
        <w:rPr>
          <w:rFonts w:ascii="Arial" w:hAnsi="Arial" w:cs="Arial"/>
          <w:bCs/>
          <w:spacing w:val="-3"/>
        </w:rPr>
        <w:t xml:space="preserve"> che il </w:t>
      </w:r>
      <w:r w:rsidR="002F46D4">
        <w:rPr>
          <w:rFonts w:ascii="Arial" w:hAnsi="Arial" w:cs="Arial"/>
          <w:bCs/>
          <w:spacing w:val="-3"/>
        </w:rPr>
        <w:t>TEAM Nazionale di esperti ECVET</w:t>
      </w:r>
      <w:r w:rsidR="00CE0EFA">
        <w:rPr>
          <w:rFonts w:ascii="Arial" w:hAnsi="Arial" w:cs="Arial"/>
          <w:bCs/>
          <w:spacing w:val="-3"/>
        </w:rPr>
        <w:t xml:space="preserve"> ha scadenzato </w:t>
      </w:r>
      <w:r w:rsidR="00892B7C" w:rsidRPr="00D35B4D">
        <w:rPr>
          <w:rFonts w:ascii="Arial" w:hAnsi="Arial" w:cs="Arial"/>
          <w:bCs/>
          <w:spacing w:val="-3"/>
        </w:rPr>
        <w:t xml:space="preserve"> </w:t>
      </w:r>
      <w:r w:rsidR="00CE0EFA">
        <w:rPr>
          <w:rFonts w:ascii="Arial" w:hAnsi="Arial" w:cs="Arial"/>
          <w:bCs/>
          <w:spacing w:val="-3"/>
        </w:rPr>
        <w:t xml:space="preserve">per l’anno in corso </w:t>
      </w:r>
      <w:r w:rsidR="005C36E8">
        <w:rPr>
          <w:rFonts w:ascii="Arial" w:hAnsi="Arial" w:cs="Arial"/>
          <w:bCs/>
          <w:spacing w:val="-3"/>
        </w:rPr>
        <w:t>nell’ambito dell</w:t>
      </w:r>
      <w:r w:rsidR="00CE0EFA">
        <w:rPr>
          <w:rFonts w:ascii="Arial" w:hAnsi="Arial" w:cs="Arial"/>
          <w:bCs/>
          <w:spacing w:val="-3"/>
        </w:rPr>
        <w:t xml:space="preserve">e attività di scambio e confronto sul processo di </w:t>
      </w:r>
      <w:r w:rsidR="00D35B4D" w:rsidRPr="00D35B4D">
        <w:rPr>
          <w:rFonts w:ascii="Arial" w:hAnsi="Arial" w:cs="Arial"/>
          <w:bCs/>
          <w:spacing w:val="-3"/>
        </w:rPr>
        <w:t>dif</w:t>
      </w:r>
      <w:r w:rsidR="00CE0EFA">
        <w:rPr>
          <w:rFonts w:ascii="Arial" w:hAnsi="Arial" w:cs="Arial"/>
          <w:bCs/>
          <w:spacing w:val="-3"/>
        </w:rPr>
        <w:t>fusione del</w:t>
      </w:r>
      <w:r w:rsidR="00892B7C">
        <w:rPr>
          <w:rFonts w:ascii="Arial" w:hAnsi="Arial" w:cs="Arial"/>
          <w:bCs/>
          <w:spacing w:val="-3"/>
        </w:rPr>
        <w:t>la raccomandazione ECVET</w:t>
      </w:r>
      <w:r w:rsidR="00CE0EFA">
        <w:rPr>
          <w:rFonts w:ascii="Arial" w:hAnsi="Arial" w:cs="Arial"/>
          <w:bCs/>
          <w:spacing w:val="-3"/>
        </w:rPr>
        <w:t xml:space="preserve"> e delle sue diverse sperimentazioni a </w:t>
      </w:r>
      <w:r w:rsidR="00892B7C">
        <w:rPr>
          <w:rFonts w:ascii="Arial" w:hAnsi="Arial" w:cs="Arial"/>
          <w:bCs/>
          <w:spacing w:val="-3"/>
        </w:rPr>
        <w:t>livello nazionale e internazionale.</w:t>
      </w:r>
    </w:p>
    <w:p w:rsidR="00892B7C" w:rsidRDefault="00892B7C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Per ulteriori informazioni, in attesa della costruzione del sito web del progetto, è possibile consultare il sito dell’Agenzia Nazionale del programma Leonardo da Vinci </w:t>
      </w:r>
      <w:hyperlink r:id="rId10" w:history="1">
        <w:r w:rsidRPr="00BB4D32">
          <w:rPr>
            <w:rStyle w:val="Collegamentoipertestuale"/>
            <w:rFonts w:ascii="Arial" w:hAnsi="Arial" w:cs="Arial"/>
            <w:bCs/>
            <w:spacing w:val="-3"/>
          </w:rPr>
          <w:t>http://programmaleonardo.net/llp/home.asp</w:t>
        </w:r>
      </w:hyperlink>
      <w:r w:rsidR="008345CD">
        <w:rPr>
          <w:rFonts w:ascii="Arial" w:hAnsi="Arial" w:cs="Arial"/>
          <w:bCs/>
          <w:spacing w:val="-3"/>
        </w:rPr>
        <w:t>.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86E84" w:rsidRPr="007E40E2" w:rsidTr="00786E84">
        <w:tc>
          <w:tcPr>
            <w:tcW w:w="9072" w:type="dxa"/>
          </w:tcPr>
          <w:p w:rsidR="00786E84" w:rsidRPr="006C7629" w:rsidRDefault="00786E84" w:rsidP="00786E84">
            <w:pPr>
              <w:jc w:val="center"/>
              <w:rPr>
                <w:b/>
                <w:sz w:val="28"/>
                <w:szCs w:val="28"/>
              </w:rPr>
            </w:pPr>
          </w:p>
          <w:p w:rsidR="00786E84" w:rsidRPr="00961DD7" w:rsidRDefault="00786E84" w:rsidP="00663FC8">
            <w:pPr>
              <w:jc w:val="center"/>
            </w:pPr>
          </w:p>
        </w:tc>
      </w:tr>
    </w:tbl>
    <w:p w:rsidR="00892B7C" w:rsidRDefault="00892B7C" w:rsidP="004E673F">
      <w:pPr>
        <w:spacing w:after="0"/>
        <w:jc w:val="center"/>
        <w:rPr>
          <w:b/>
          <w:sz w:val="16"/>
          <w:szCs w:val="16"/>
        </w:rPr>
      </w:pPr>
    </w:p>
    <w:p w:rsidR="00B74B36" w:rsidRPr="002B6E34" w:rsidRDefault="00892B7C" w:rsidP="002B6E34">
      <w:pPr>
        <w:jc w:val="center"/>
        <w:rPr>
          <w:rFonts w:ascii="Calibri" w:hAnsi="Calibri" w:cs="Times New Roman"/>
          <w:b/>
        </w:rPr>
      </w:pPr>
      <w:r>
        <w:rPr>
          <w:b/>
          <w:sz w:val="16"/>
          <w:szCs w:val="16"/>
        </w:rPr>
        <w:br w:type="page"/>
      </w:r>
    </w:p>
    <w:p w:rsidR="002B6E34" w:rsidRDefault="002B6E34" w:rsidP="002B6E34">
      <w:pPr>
        <w:jc w:val="center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lastRenderedPageBreak/>
        <w:t xml:space="preserve">IV Workshop </w:t>
      </w:r>
      <w:r w:rsidRPr="00C42A33">
        <w:rPr>
          <w:rFonts w:ascii="Calibri" w:hAnsi="Calibri"/>
          <w:b/>
          <w:sz w:val="28"/>
          <w:szCs w:val="32"/>
        </w:rPr>
        <w:t xml:space="preserve">del Gruppo di esperti nazionali ECVET </w:t>
      </w:r>
    </w:p>
    <w:p w:rsidR="002B6E34" w:rsidRPr="002E1C45" w:rsidRDefault="002B6E34" w:rsidP="002B6E34">
      <w:pPr>
        <w:jc w:val="center"/>
        <w:rPr>
          <w:rFonts w:ascii="Calibri" w:eastAsia="Calibri" w:hAnsi="Calibri"/>
          <w:b/>
          <w:i/>
          <w:sz w:val="28"/>
          <w:lang w:eastAsia="en-US"/>
        </w:rPr>
      </w:pPr>
      <w:r w:rsidRPr="002E1C45">
        <w:rPr>
          <w:rFonts w:ascii="Calibri" w:hAnsi="Calibri"/>
          <w:b/>
          <w:i/>
          <w:sz w:val="28"/>
          <w:szCs w:val="32"/>
        </w:rPr>
        <w:t>Le</w:t>
      </w:r>
      <w:r w:rsidRPr="002E1C45">
        <w:rPr>
          <w:rFonts w:ascii="Calibri" w:eastAsia="Calibri" w:hAnsi="Calibri"/>
          <w:b/>
          <w:i/>
          <w:sz w:val="28"/>
          <w:lang w:eastAsia="en-US"/>
        </w:rPr>
        <w:t xml:space="preserve"> sperimentazioni di ECVET:</w:t>
      </w:r>
    </w:p>
    <w:p w:rsidR="002B6E34" w:rsidRDefault="002B6E34" w:rsidP="002B6E34">
      <w:pPr>
        <w:jc w:val="center"/>
        <w:rPr>
          <w:rFonts w:ascii="Calibri" w:hAnsi="Calibri"/>
          <w:b/>
          <w:sz w:val="28"/>
          <w:szCs w:val="32"/>
        </w:rPr>
      </w:pPr>
      <w:r w:rsidRPr="002E1C45">
        <w:rPr>
          <w:rFonts w:ascii="Calibri" w:hAnsi="Calibri"/>
          <w:b/>
          <w:i/>
          <w:sz w:val="28"/>
          <w:szCs w:val="32"/>
        </w:rPr>
        <w:t>strumenti e strategie per la mobilità e il riconoscimento delle competenze</w:t>
      </w:r>
    </w:p>
    <w:p w:rsidR="002B6E34" w:rsidRPr="009E48D3" w:rsidRDefault="002B6E34" w:rsidP="002B6E34">
      <w:pPr>
        <w:rPr>
          <w:rFonts w:ascii="Calibri" w:hAnsi="Calibri"/>
          <w:b/>
          <w:sz w:val="16"/>
          <w:szCs w:val="16"/>
        </w:rPr>
      </w:pPr>
    </w:p>
    <w:p w:rsidR="002B6E34" w:rsidRDefault="002B6E34" w:rsidP="002B6E34">
      <w:pPr>
        <w:jc w:val="center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TRIESTE</w:t>
      </w:r>
      <w:r w:rsidRPr="009E48D3">
        <w:rPr>
          <w:rFonts w:ascii="Century Gothic" w:hAnsi="Century Gothic"/>
          <w:b/>
          <w:i/>
          <w:sz w:val="24"/>
          <w:szCs w:val="24"/>
        </w:rPr>
        <w:t xml:space="preserve">, </w:t>
      </w:r>
      <w:r>
        <w:rPr>
          <w:rFonts w:ascii="Century Gothic" w:hAnsi="Century Gothic"/>
          <w:b/>
          <w:i/>
          <w:sz w:val="24"/>
          <w:szCs w:val="24"/>
        </w:rPr>
        <w:t>9 Luglio</w:t>
      </w:r>
      <w:r w:rsidRPr="009E48D3">
        <w:rPr>
          <w:rFonts w:ascii="Century Gothic" w:hAnsi="Century Gothic"/>
          <w:b/>
          <w:i/>
          <w:sz w:val="24"/>
          <w:szCs w:val="24"/>
        </w:rPr>
        <w:t xml:space="preserve"> 2013</w:t>
      </w:r>
    </w:p>
    <w:p w:rsidR="002B6E34" w:rsidRPr="004F5BD5" w:rsidRDefault="002B6E34" w:rsidP="002B6E34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</w:t>
      </w:r>
      <w:r w:rsidRPr="004F5BD5">
        <w:rPr>
          <w:rFonts w:ascii="Century Gothic" w:hAnsi="Century Gothic"/>
          <w:i/>
        </w:rPr>
        <w:t>NH Hotel – Corso Cavour, 7</w:t>
      </w:r>
      <w:r>
        <w:rPr>
          <w:rFonts w:ascii="Century Gothic" w:hAnsi="Century Gothic"/>
          <w:i/>
        </w:rPr>
        <w:t>)</w:t>
      </w:r>
    </w:p>
    <w:p w:rsidR="002B6E34" w:rsidRPr="00186B92" w:rsidRDefault="002B6E34" w:rsidP="002B6E34">
      <w:pPr>
        <w:rPr>
          <w:rFonts w:ascii="Century Gothic" w:hAnsi="Century Gothic"/>
          <w:b/>
          <w:sz w:val="16"/>
          <w:szCs w:val="16"/>
        </w:rPr>
      </w:pPr>
    </w:p>
    <w:p w:rsidR="002B6E34" w:rsidRPr="00A944E5" w:rsidRDefault="002B6E34" w:rsidP="002B6E34">
      <w:pPr>
        <w:jc w:val="center"/>
        <w:rPr>
          <w:rFonts w:ascii="Century Gothic" w:hAnsi="Century Gothic"/>
          <w:b/>
          <w:sz w:val="24"/>
          <w:szCs w:val="24"/>
        </w:rPr>
      </w:pPr>
      <w:r w:rsidRPr="00A944E5">
        <w:rPr>
          <w:rFonts w:ascii="Century Gothic" w:hAnsi="Century Gothic"/>
          <w:b/>
          <w:sz w:val="24"/>
          <w:szCs w:val="24"/>
        </w:rPr>
        <w:t>DRAFT AGENDA</w:t>
      </w:r>
    </w:p>
    <w:tbl>
      <w:tblPr>
        <w:tblW w:w="5343" w:type="pct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8222"/>
      </w:tblGrid>
      <w:tr w:rsidR="002B6E34" w:rsidRPr="001B4875" w:rsidTr="00292474">
        <w:trPr>
          <w:trHeight w:val="403"/>
        </w:trPr>
        <w:tc>
          <w:tcPr>
            <w:tcW w:w="858" w:type="pct"/>
          </w:tcPr>
          <w:p w:rsidR="002B6E34" w:rsidRPr="00A94D59" w:rsidRDefault="002B6E34" w:rsidP="0029247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10.00 – 10.30</w:t>
            </w:r>
          </w:p>
        </w:tc>
        <w:tc>
          <w:tcPr>
            <w:tcW w:w="4142" w:type="pct"/>
          </w:tcPr>
          <w:p w:rsidR="002B6E34" w:rsidRPr="00BD31ED" w:rsidRDefault="002B6E34" w:rsidP="00292474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000000"/>
              </w:rPr>
            </w:pPr>
            <w:r w:rsidRPr="00BD31ED">
              <w:rPr>
                <w:rFonts w:ascii="Century Gothic" w:eastAsia="MS Mincho" w:hAnsi="Century Gothic"/>
                <w:b/>
              </w:rPr>
              <w:t>Registrazione dei partecipanti</w:t>
            </w:r>
            <w:r>
              <w:rPr>
                <w:rFonts w:ascii="Century Gothic" w:eastAsia="MS Mincho" w:hAnsi="Century Gothic"/>
                <w:b/>
              </w:rPr>
              <w:t xml:space="preserve"> e welcome coffee</w:t>
            </w:r>
          </w:p>
        </w:tc>
      </w:tr>
      <w:tr w:rsidR="002B6E34" w:rsidRPr="001B4875" w:rsidTr="00292474">
        <w:trPr>
          <w:trHeight w:val="403"/>
        </w:trPr>
        <w:tc>
          <w:tcPr>
            <w:tcW w:w="858" w:type="pct"/>
          </w:tcPr>
          <w:p w:rsidR="002B6E34" w:rsidRDefault="002B6E34" w:rsidP="0029247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10.30 -  10.45</w:t>
            </w:r>
          </w:p>
        </w:tc>
        <w:tc>
          <w:tcPr>
            <w:tcW w:w="4142" w:type="pct"/>
          </w:tcPr>
          <w:p w:rsidR="002B6E34" w:rsidRDefault="002B6E34" w:rsidP="0029247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eastAsia="MS Mincho" w:hAnsi="Century Gothic"/>
                <w:b/>
              </w:rPr>
              <w:t>Apertura dei lavori e saluti istituzionali</w:t>
            </w:r>
            <w:r>
              <w:rPr>
                <w:rFonts w:ascii="Century Gothic" w:hAnsi="Century Gothic"/>
              </w:rPr>
              <w:t xml:space="preserve"> </w:t>
            </w:r>
          </w:p>
          <w:p w:rsidR="002B6E34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Dott.ssa </w:t>
            </w:r>
            <w:r w:rsidRPr="0010121E">
              <w:rPr>
                <w:rFonts w:ascii="Century Gothic" w:hAnsi="Century Gothic"/>
              </w:rPr>
              <w:t xml:space="preserve">Loredana Panariti </w:t>
            </w:r>
            <w:r>
              <w:rPr>
                <w:rFonts w:ascii="Century Gothic" w:hAnsi="Century Gothic"/>
              </w:rPr>
              <w:t xml:space="preserve"> - Regione Friuli Venezia Giulia - Assessore al </w:t>
            </w:r>
            <w:r w:rsidRPr="00F15F50">
              <w:rPr>
                <w:rFonts w:ascii="Century Gothic" w:hAnsi="Century Gothic"/>
              </w:rPr>
              <w:t>lavoro, formazione, commercio e pari opportunità</w:t>
            </w:r>
            <w:r>
              <w:rPr>
                <w:rFonts w:ascii="Century Gothic" w:hAnsi="Century Gothic"/>
              </w:rPr>
              <w:t xml:space="preserve"> </w:t>
            </w:r>
            <w:r w:rsidRPr="0010121E">
              <w:rPr>
                <w:rFonts w:ascii="Century Gothic" w:hAnsi="Century Gothic"/>
              </w:rPr>
              <w:t>(da confermare)</w:t>
            </w:r>
            <w:r>
              <w:rPr>
                <w:rFonts w:ascii="Century Gothic" w:hAnsi="Century Gothic"/>
              </w:rPr>
              <w:t xml:space="preserve"> </w:t>
            </w:r>
          </w:p>
          <w:p w:rsidR="002B6E34" w:rsidRPr="00BD31ED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b/>
              </w:rPr>
            </w:pPr>
            <w:r>
              <w:rPr>
                <w:rFonts w:ascii="Century Gothic" w:hAnsi="Century Gothic"/>
              </w:rPr>
              <w:t>Dott.ssa Nicoletta Clauser</w:t>
            </w:r>
            <w:r w:rsidRPr="00F15F5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- </w:t>
            </w:r>
            <w:r w:rsidRPr="00F15F50">
              <w:rPr>
                <w:rFonts w:ascii="Century Gothic" w:hAnsi="Century Gothic"/>
              </w:rPr>
              <w:t xml:space="preserve">Provincia Autonoma di Trento </w:t>
            </w:r>
            <w:r>
              <w:rPr>
                <w:rFonts w:ascii="Century Gothic" w:hAnsi="Century Gothic"/>
              </w:rPr>
              <w:t xml:space="preserve">-  </w:t>
            </w:r>
            <w:r w:rsidRPr="0010121E">
              <w:rPr>
                <w:rFonts w:ascii="Century Gothic" w:hAnsi="Century Gothic"/>
              </w:rPr>
              <w:t>Servizio Europa</w:t>
            </w:r>
          </w:p>
        </w:tc>
      </w:tr>
      <w:tr w:rsidR="002B6E34" w:rsidRPr="001B4875" w:rsidTr="00292474">
        <w:trPr>
          <w:trHeight w:val="648"/>
        </w:trPr>
        <w:tc>
          <w:tcPr>
            <w:tcW w:w="858" w:type="pct"/>
          </w:tcPr>
          <w:p w:rsidR="002B6E34" w:rsidRDefault="002B6E34" w:rsidP="0029247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10.45 – 11.15</w:t>
            </w:r>
          </w:p>
        </w:tc>
        <w:tc>
          <w:tcPr>
            <w:tcW w:w="4142" w:type="pct"/>
          </w:tcPr>
          <w:p w:rsidR="002B6E34" w:rsidRPr="00600869" w:rsidRDefault="002B6E34" w:rsidP="00292474">
            <w:pPr>
              <w:autoSpaceDE w:val="0"/>
              <w:autoSpaceDN w:val="0"/>
              <w:adjustRightInd w:val="0"/>
              <w:rPr>
                <w:rFonts w:ascii="Century Gothic" w:eastAsia="MS Mincho" w:hAnsi="Century Gothic"/>
                <w:b/>
                <w:sz w:val="12"/>
              </w:rPr>
            </w:pPr>
            <w:r w:rsidRPr="00397F8E">
              <w:rPr>
                <w:rFonts w:ascii="Century Gothic" w:eastAsia="MS Mincho" w:hAnsi="Century Gothic"/>
                <w:b/>
              </w:rPr>
              <w:t>L’uso dei dispositivi di trasparenza a supporto della mobilità</w:t>
            </w:r>
          </w:p>
          <w:p w:rsidR="002B6E34" w:rsidRPr="00600869" w:rsidRDefault="002B6E34" w:rsidP="00292474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Esperti ECVET</w:t>
            </w:r>
          </w:p>
        </w:tc>
      </w:tr>
      <w:tr w:rsidR="002B6E34" w:rsidRPr="001B4875" w:rsidTr="00292474">
        <w:trPr>
          <w:trHeight w:val="1419"/>
        </w:trPr>
        <w:tc>
          <w:tcPr>
            <w:tcW w:w="858" w:type="pct"/>
          </w:tcPr>
          <w:p w:rsidR="002B6E34" w:rsidRDefault="002B6E34" w:rsidP="0029247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11.15 – 12.15</w:t>
            </w:r>
          </w:p>
        </w:tc>
        <w:tc>
          <w:tcPr>
            <w:tcW w:w="4142" w:type="pct"/>
          </w:tcPr>
          <w:p w:rsidR="002B6E34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b/>
              </w:rPr>
            </w:pPr>
            <w:r>
              <w:rPr>
                <w:rFonts w:ascii="Century Gothic" w:eastAsia="MS Mincho" w:hAnsi="Century Gothic"/>
                <w:b/>
              </w:rPr>
              <w:t xml:space="preserve">Gli strumenti a supporto dei processi di mobilità: le pratiche in corso </w:t>
            </w:r>
          </w:p>
          <w:p w:rsidR="002B6E34" w:rsidRPr="00F260C1" w:rsidRDefault="002B6E34" w:rsidP="00292474">
            <w:pPr>
              <w:jc w:val="both"/>
              <w:rPr>
                <w:rFonts w:ascii="Century Gothic" w:hAnsi="Century Gothic"/>
              </w:rPr>
            </w:pPr>
            <w:r w:rsidRPr="00F260C1">
              <w:rPr>
                <w:rFonts w:ascii="Century Gothic" w:hAnsi="Century Gothic"/>
              </w:rPr>
              <w:t xml:space="preserve">Progetto Leonardo da Vinci </w:t>
            </w:r>
            <w:r w:rsidRPr="00F260C1">
              <w:rPr>
                <w:rFonts w:ascii="Century Gothic" w:hAnsi="Century Gothic"/>
                <w:i/>
              </w:rPr>
              <w:t>TRACK – Transnational Acknowledgement of work experience in foreign companies</w:t>
            </w:r>
            <w:r w:rsidRPr="00F260C1">
              <w:rPr>
                <w:rFonts w:ascii="Century Gothic" w:hAnsi="Century Gothic"/>
              </w:rPr>
              <w:t xml:space="preserve"> (Regione Autonoma Friuli Venezia Giulia)</w:t>
            </w:r>
          </w:p>
          <w:p w:rsidR="002B6E34" w:rsidRDefault="002B6E34" w:rsidP="00292474">
            <w:pPr>
              <w:jc w:val="both"/>
              <w:rPr>
                <w:rFonts w:ascii="Century Gothic" w:hAnsi="Century Gothic"/>
              </w:rPr>
            </w:pPr>
            <w:r w:rsidRPr="00F260C1">
              <w:rPr>
                <w:rFonts w:ascii="Century Gothic" w:hAnsi="Century Gothic"/>
              </w:rPr>
              <w:t>Progetto</w:t>
            </w:r>
            <w:r>
              <w:t xml:space="preserve"> </w:t>
            </w:r>
            <w:r w:rsidRPr="00F260C1">
              <w:rPr>
                <w:rFonts w:ascii="Century Gothic" w:hAnsi="Century Gothic"/>
              </w:rPr>
              <w:t xml:space="preserve">Leonardo da Vinci </w:t>
            </w:r>
            <w:r>
              <w:rPr>
                <w:rFonts w:ascii="Century Gothic" w:hAnsi="Century Gothic"/>
              </w:rPr>
              <w:t xml:space="preserve"> </w:t>
            </w:r>
            <w:r w:rsidRPr="00E6228C">
              <w:rPr>
                <w:rFonts w:ascii="Century Gothic" w:hAnsi="Century Gothic"/>
                <w:i/>
              </w:rPr>
              <w:t xml:space="preserve"> Ermes</w:t>
            </w:r>
            <w:r>
              <w:rPr>
                <w:rFonts w:ascii="Century Gothic" w:hAnsi="Century Gothic"/>
              </w:rPr>
              <w:t xml:space="preserve"> (Fondazione Giacomo Rumor)</w:t>
            </w:r>
          </w:p>
          <w:p w:rsidR="002B6E34" w:rsidRPr="00192642" w:rsidRDefault="002B6E34" w:rsidP="00292474">
            <w:pPr>
              <w:jc w:val="both"/>
              <w:rPr>
                <w:rFonts w:ascii="Arial" w:hAnsi="Arial" w:cs="Arial"/>
              </w:rPr>
            </w:pPr>
            <w:r w:rsidRPr="00F260C1">
              <w:rPr>
                <w:rFonts w:ascii="Century Gothic" w:hAnsi="Century Gothic"/>
              </w:rPr>
              <w:t>Progetto Leonardo da Vinci</w:t>
            </w:r>
            <w:r>
              <w:rPr>
                <w:rFonts w:ascii="Century Gothic" w:hAnsi="Century Gothic"/>
                <w:i/>
              </w:rPr>
              <w:t xml:space="preserve">  </w:t>
            </w:r>
            <w:r w:rsidRPr="00E6228C">
              <w:rPr>
                <w:rFonts w:ascii="Century Gothic" w:hAnsi="Century Gothic"/>
                <w:i/>
              </w:rPr>
              <w:t>PRE.MO</w:t>
            </w:r>
            <w:r w:rsidRPr="00690558">
              <w:rPr>
                <w:rFonts w:ascii="Century Gothic" w:hAnsi="Century Gothic"/>
              </w:rPr>
              <w:t xml:space="preserve"> – </w:t>
            </w:r>
            <w:r w:rsidRPr="00961A93">
              <w:rPr>
                <w:rFonts w:ascii="Century Gothic" w:hAnsi="Century Gothic"/>
                <w:i/>
              </w:rPr>
              <w:t>Prepara la Mobilità</w:t>
            </w:r>
            <w:r w:rsidRPr="00690558">
              <w:rPr>
                <w:rFonts w:ascii="Century Gothic" w:hAnsi="Century Gothic"/>
              </w:rPr>
              <w:t xml:space="preserve"> (Provincia Autonoma di Trento)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B6E34" w:rsidRPr="001B4875" w:rsidTr="00292474">
        <w:trPr>
          <w:trHeight w:val="716"/>
        </w:trPr>
        <w:tc>
          <w:tcPr>
            <w:tcW w:w="858" w:type="pct"/>
          </w:tcPr>
          <w:p w:rsidR="002B6E34" w:rsidRDefault="002B6E34" w:rsidP="0029247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12.15 – 12.30 </w:t>
            </w:r>
          </w:p>
        </w:tc>
        <w:tc>
          <w:tcPr>
            <w:tcW w:w="4142" w:type="pct"/>
          </w:tcPr>
          <w:p w:rsidR="002B6E34" w:rsidRPr="00BD31ED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eastAsia="MS Mincho" w:hAnsi="Century Gothic"/>
                <w:b/>
              </w:rPr>
              <w:t>Mobilità e occupabilità – Il punto di vista del mondo del lavoro</w:t>
            </w:r>
          </w:p>
          <w:p w:rsidR="002B6E34" w:rsidRPr="00E6228C" w:rsidRDefault="002B6E34" w:rsidP="00292474">
            <w:pPr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E6228C">
              <w:rPr>
                <w:rFonts w:ascii="Century Gothic" w:hAnsi="Century Gothic"/>
                <w:i/>
              </w:rPr>
              <w:t xml:space="preserve">Progetto Re.Basing </w:t>
            </w:r>
            <w:r w:rsidRPr="00E6228C">
              <w:rPr>
                <w:rFonts w:ascii="Century Gothic" w:hAnsi="Century Gothic"/>
              </w:rPr>
              <w:t>- Confindustria Veneto SIAV</w:t>
            </w:r>
          </w:p>
        </w:tc>
      </w:tr>
      <w:tr w:rsidR="002B6E34" w:rsidRPr="004D7F1D" w:rsidTr="00292474">
        <w:trPr>
          <w:trHeight w:val="433"/>
        </w:trPr>
        <w:tc>
          <w:tcPr>
            <w:tcW w:w="858" w:type="pct"/>
          </w:tcPr>
          <w:p w:rsidR="002B6E34" w:rsidRDefault="002B6E34" w:rsidP="0029247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12.35 – 13.00</w:t>
            </w:r>
          </w:p>
        </w:tc>
        <w:tc>
          <w:tcPr>
            <w:tcW w:w="4142" w:type="pct"/>
          </w:tcPr>
          <w:p w:rsidR="002B6E34" w:rsidRPr="004D7F1D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i/>
              </w:rPr>
            </w:pPr>
            <w:r w:rsidRPr="00F260C1">
              <w:rPr>
                <w:rFonts w:ascii="Century Gothic" w:eastAsia="MS Mincho" w:hAnsi="Century Gothic"/>
                <w:i/>
              </w:rPr>
              <w:t xml:space="preserve">Question Time </w:t>
            </w:r>
          </w:p>
        </w:tc>
      </w:tr>
      <w:tr w:rsidR="002B6E34" w:rsidRPr="004D7F1D" w:rsidTr="00292474">
        <w:trPr>
          <w:trHeight w:val="411"/>
        </w:trPr>
        <w:tc>
          <w:tcPr>
            <w:tcW w:w="858" w:type="pct"/>
          </w:tcPr>
          <w:p w:rsidR="002B6E34" w:rsidRDefault="002B6E34" w:rsidP="0029247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13.00 – 14.00</w:t>
            </w:r>
          </w:p>
        </w:tc>
        <w:tc>
          <w:tcPr>
            <w:tcW w:w="4142" w:type="pct"/>
          </w:tcPr>
          <w:p w:rsidR="002B6E34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i/>
              </w:rPr>
            </w:pPr>
            <w:r>
              <w:rPr>
                <w:rFonts w:ascii="Century Gothic" w:eastAsia="MS Mincho" w:hAnsi="Century Gothic"/>
                <w:i/>
              </w:rPr>
              <w:t>Pausa Pranzo</w:t>
            </w:r>
          </w:p>
        </w:tc>
      </w:tr>
      <w:tr w:rsidR="002B6E34" w:rsidRPr="004D7F1D" w:rsidTr="00292474">
        <w:trPr>
          <w:trHeight w:val="716"/>
        </w:trPr>
        <w:tc>
          <w:tcPr>
            <w:tcW w:w="858" w:type="pct"/>
          </w:tcPr>
          <w:p w:rsidR="002B6E34" w:rsidRDefault="002B6E34" w:rsidP="00292474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14.00 -15.00</w:t>
            </w:r>
          </w:p>
        </w:tc>
        <w:tc>
          <w:tcPr>
            <w:tcW w:w="4142" w:type="pct"/>
          </w:tcPr>
          <w:p w:rsidR="002B6E34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b/>
              </w:rPr>
            </w:pPr>
            <w:r>
              <w:rPr>
                <w:rFonts w:ascii="Century Gothic" w:eastAsia="MS Mincho" w:hAnsi="Century Gothic"/>
                <w:b/>
              </w:rPr>
              <w:t>Tavola Rotonda  - I processi di riforma in atto e le possibili sinergie con la sperimentazione di ECVET</w:t>
            </w:r>
          </w:p>
          <w:p w:rsidR="002B6E34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Introduce: Dott.ssa Elisabetta Perulli </w:t>
            </w:r>
            <w:r w:rsidRPr="00BD31ED">
              <w:rPr>
                <w:rFonts w:ascii="Century Gothic" w:hAnsi="Century Gothic"/>
              </w:rPr>
              <w:t>- ISFOL, Esperto nazionale ECVET</w:t>
            </w:r>
            <w:r>
              <w:rPr>
                <w:rFonts w:ascii="Century Gothic" w:hAnsi="Century Gothic"/>
              </w:rPr>
              <w:t xml:space="preserve"> </w:t>
            </w:r>
          </w:p>
          <w:p w:rsidR="002B6E34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Coordina: </w:t>
            </w:r>
            <w:r w:rsidRPr="00BA4E00">
              <w:rPr>
                <w:rFonts w:ascii="Century Gothic" w:hAnsi="Century Gothic"/>
              </w:rPr>
              <w:t>TEAM Esperti ECVET</w:t>
            </w:r>
          </w:p>
          <w:p w:rsidR="002B6E34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</w:p>
          <w:p w:rsidR="002B6E34" w:rsidRPr="00596199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 w:rsidRPr="00596199">
              <w:rPr>
                <w:rFonts w:ascii="Century Gothic" w:hAnsi="Century Gothic"/>
              </w:rPr>
              <w:t>Regione Friuli Venezia Giulia</w:t>
            </w:r>
            <w:r>
              <w:rPr>
                <w:rFonts w:ascii="Century Gothic" w:hAnsi="Century Gothic"/>
              </w:rPr>
              <w:t xml:space="preserve"> – Dott. Fulvio Fabris</w:t>
            </w:r>
          </w:p>
          <w:p w:rsidR="002B6E34" w:rsidRPr="00596199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 w:rsidRPr="00596199">
              <w:rPr>
                <w:rFonts w:ascii="Century Gothic" w:hAnsi="Century Gothic"/>
              </w:rPr>
              <w:t>Regione Veneto</w:t>
            </w:r>
            <w:r>
              <w:rPr>
                <w:rFonts w:ascii="Century Gothic" w:hAnsi="Century Gothic"/>
              </w:rPr>
              <w:t xml:space="preserve"> – Dott. Pier Angelo Turri</w:t>
            </w:r>
          </w:p>
          <w:p w:rsidR="002B6E34" w:rsidRPr="00596199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Regione Emilia Romagna – </w:t>
            </w:r>
            <w:r w:rsidRPr="0010121E">
              <w:rPr>
                <w:rFonts w:ascii="Century Gothic" w:hAnsi="Century Gothic"/>
              </w:rPr>
              <w:t>Dott.ssa Paola Cicognani (da confermare)</w:t>
            </w:r>
          </w:p>
          <w:p w:rsidR="002B6E34" w:rsidRPr="00596199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 w:rsidRPr="00596199">
              <w:rPr>
                <w:rFonts w:ascii="Century Gothic" w:hAnsi="Century Gothic"/>
              </w:rPr>
              <w:t>Provincia Autonoma di Trento</w:t>
            </w:r>
            <w:r>
              <w:rPr>
                <w:rFonts w:ascii="Century Gothic" w:hAnsi="Century Gothic"/>
              </w:rPr>
              <w:t xml:space="preserve"> – Dott.ssa </w:t>
            </w:r>
            <w:r w:rsidRPr="00142238">
              <w:rPr>
                <w:rFonts w:ascii="Century Gothic" w:hAnsi="Century Gothic"/>
              </w:rPr>
              <w:t>Laura Froner</w:t>
            </w:r>
          </w:p>
          <w:p w:rsidR="002B6E34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</w:rPr>
            </w:pPr>
            <w:r w:rsidRPr="00596199">
              <w:rPr>
                <w:rFonts w:ascii="Century Gothic" w:hAnsi="Century Gothic"/>
              </w:rPr>
              <w:t>Provincia Autonoma di Bolzano</w:t>
            </w:r>
            <w:r>
              <w:rPr>
                <w:rFonts w:ascii="Century Gothic" w:hAnsi="Century Gothic"/>
              </w:rPr>
              <w:t xml:space="preserve"> (da confermare) </w:t>
            </w:r>
          </w:p>
          <w:p w:rsidR="002B6E34" w:rsidRPr="004D7F1D" w:rsidRDefault="002B6E34" w:rsidP="00292474">
            <w:pPr>
              <w:autoSpaceDE w:val="0"/>
              <w:autoSpaceDN w:val="0"/>
              <w:adjustRightInd w:val="0"/>
              <w:jc w:val="both"/>
              <w:rPr>
                <w:rFonts w:ascii="Century Gothic" w:eastAsia="MS Mincho" w:hAnsi="Century Gothic"/>
                <w:b/>
                <w:sz w:val="16"/>
                <w:szCs w:val="16"/>
              </w:rPr>
            </w:pPr>
          </w:p>
        </w:tc>
      </w:tr>
      <w:tr w:rsidR="002B6E34" w:rsidRPr="001B4875" w:rsidTr="00292474">
        <w:trPr>
          <w:trHeight w:val="434"/>
        </w:trPr>
        <w:tc>
          <w:tcPr>
            <w:tcW w:w="858" w:type="pct"/>
          </w:tcPr>
          <w:p w:rsidR="002B6E34" w:rsidRPr="00A94D59" w:rsidRDefault="002B6E34" w:rsidP="00292474">
            <w:pPr>
              <w:rPr>
                <w:rFonts w:ascii="Calibri" w:hAnsi="Calibri"/>
                <w:b/>
                <w:color w:val="000000"/>
              </w:rPr>
            </w:pPr>
            <w:r w:rsidRPr="00A94D59">
              <w:rPr>
                <w:rFonts w:ascii="Calibri" w:hAnsi="Calibri"/>
                <w:b/>
                <w:color w:val="000000"/>
              </w:rPr>
              <w:t>1</w:t>
            </w:r>
            <w:r>
              <w:rPr>
                <w:rFonts w:ascii="Calibri" w:hAnsi="Calibri"/>
                <w:b/>
                <w:color w:val="000000"/>
              </w:rPr>
              <w:t>5</w:t>
            </w:r>
            <w:r w:rsidRPr="00A94D59">
              <w:rPr>
                <w:rFonts w:ascii="Calibri" w:hAnsi="Calibri"/>
                <w:b/>
                <w:color w:val="000000"/>
              </w:rPr>
              <w:t>.</w:t>
            </w:r>
            <w:r>
              <w:rPr>
                <w:rFonts w:ascii="Calibri" w:hAnsi="Calibri"/>
                <w:b/>
                <w:color w:val="000000"/>
              </w:rPr>
              <w:t>00 – 15.30</w:t>
            </w:r>
          </w:p>
        </w:tc>
        <w:tc>
          <w:tcPr>
            <w:tcW w:w="4142" w:type="pct"/>
          </w:tcPr>
          <w:p w:rsidR="002B6E34" w:rsidRPr="00BD31ED" w:rsidRDefault="002B6E34" w:rsidP="00292474">
            <w:pPr>
              <w:ind w:firstLine="33"/>
              <w:rPr>
                <w:rFonts w:ascii="Century Gothic" w:eastAsia="MS Mincho" w:hAnsi="Century Gothic"/>
                <w:b/>
              </w:rPr>
            </w:pPr>
            <w:r>
              <w:rPr>
                <w:rFonts w:ascii="Century Gothic" w:eastAsia="MS Mincho" w:hAnsi="Century Gothic"/>
                <w:b/>
              </w:rPr>
              <w:t>Conclusioni</w:t>
            </w:r>
          </w:p>
          <w:p w:rsidR="002B6E34" w:rsidRPr="00BD31ED" w:rsidRDefault="002B6E34" w:rsidP="00292474">
            <w:pPr>
              <w:ind w:firstLine="33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entury Gothic" w:hAnsi="Century Gothic"/>
              </w:rPr>
              <w:t xml:space="preserve">Dott.ssa Sveva Balduini - </w:t>
            </w:r>
            <w:r w:rsidRPr="00BD31ED">
              <w:rPr>
                <w:rFonts w:ascii="Century Gothic" w:hAnsi="Century Gothic"/>
              </w:rPr>
              <w:t>ISFOL</w:t>
            </w:r>
            <w:r>
              <w:rPr>
                <w:rFonts w:ascii="Century Gothic" w:hAnsi="Century Gothic"/>
              </w:rPr>
              <w:t xml:space="preserve"> - Agenzia Nazionale LLP -</w:t>
            </w:r>
            <w:r w:rsidRPr="004922CF">
              <w:rPr>
                <w:rFonts w:ascii="Century Gothic" w:hAnsi="Century Gothic"/>
              </w:rPr>
              <w:t xml:space="preserve"> Leonardo da Vinci</w:t>
            </w:r>
          </w:p>
        </w:tc>
      </w:tr>
    </w:tbl>
    <w:p w:rsidR="002B6E34" w:rsidRDefault="002B6E34" w:rsidP="002B6E34">
      <w:pPr>
        <w:jc w:val="center"/>
        <w:rPr>
          <w:rFonts w:cs="Arial"/>
          <w:noProof/>
        </w:rPr>
      </w:pPr>
    </w:p>
    <w:p w:rsidR="002B6E34" w:rsidRDefault="002B6E34" w:rsidP="002B6E34">
      <w:pPr>
        <w:jc w:val="center"/>
        <w:rPr>
          <w:rFonts w:cs="Arial"/>
          <w:noProof/>
        </w:rPr>
      </w:pPr>
    </w:p>
    <w:p w:rsidR="002B6E34" w:rsidRDefault="002B6E34" w:rsidP="002B6E34">
      <w:pPr>
        <w:jc w:val="center"/>
        <w:rPr>
          <w:rFonts w:cs="Arial"/>
          <w:noProof/>
        </w:rPr>
      </w:pPr>
    </w:p>
    <w:p w:rsidR="002B6E34" w:rsidRDefault="002B6E34" w:rsidP="002B6E34">
      <w:pPr>
        <w:jc w:val="center"/>
        <w:rPr>
          <w:rFonts w:cs="Arial"/>
          <w:noProof/>
        </w:rPr>
      </w:pPr>
    </w:p>
    <w:p w:rsidR="002B6E34" w:rsidRDefault="002B6E34" w:rsidP="002B6E34">
      <w:pPr>
        <w:jc w:val="center"/>
        <w:rPr>
          <w:rFonts w:cs="Arial"/>
          <w:noProof/>
        </w:rPr>
      </w:pPr>
    </w:p>
    <w:p w:rsidR="002B6E34" w:rsidRDefault="002B6E34" w:rsidP="002B6E34">
      <w:pPr>
        <w:jc w:val="center"/>
        <w:rPr>
          <w:rFonts w:cs="Arial"/>
          <w:noProof/>
        </w:rPr>
      </w:pPr>
    </w:p>
    <w:p w:rsidR="002B6E34" w:rsidRDefault="002B6E34" w:rsidP="002B6E34">
      <w:pPr>
        <w:jc w:val="center"/>
        <w:rPr>
          <w:rFonts w:cs="Arial"/>
          <w:noProof/>
        </w:rPr>
      </w:pPr>
    </w:p>
    <w:p w:rsidR="002B6E34" w:rsidRDefault="002B6E34" w:rsidP="002B6E34">
      <w:pPr>
        <w:jc w:val="center"/>
        <w:rPr>
          <w:rFonts w:cs="Arial"/>
          <w:noProof/>
        </w:rPr>
      </w:pPr>
    </w:p>
    <w:p w:rsidR="002B6E34" w:rsidRDefault="002B6E34" w:rsidP="002B6E34">
      <w:pPr>
        <w:jc w:val="both"/>
        <w:rPr>
          <w:rFonts w:cs="Arial"/>
          <w:noProof/>
        </w:rPr>
      </w:pPr>
    </w:p>
    <w:p w:rsidR="002B6E34" w:rsidRDefault="002B6E34" w:rsidP="002B6E34">
      <w:pPr>
        <w:jc w:val="center"/>
        <w:rPr>
          <w:rFonts w:ascii="Calibri" w:hAnsi="Calibri"/>
          <w:b/>
          <w:lang w:val="en-US"/>
        </w:rPr>
      </w:pPr>
      <w:r>
        <w:rPr>
          <w:rFonts w:cs="Arial"/>
          <w:noProof/>
        </w:rPr>
        <w:drawing>
          <wp:inline distT="0" distB="0" distL="0" distR="0">
            <wp:extent cx="1200150" cy="495300"/>
            <wp:effectExtent l="0" t="0" r="0" b="0"/>
            <wp:docPr id="1" name="Immagine 1" descr="LogoIsf_est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Isf_estes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7C" w:rsidRDefault="00892B7C">
      <w:pPr>
        <w:rPr>
          <w:b/>
          <w:sz w:val="16"/>
          <w:szCs w:val="16"/>
        </w:rPr>
      </w:pPr>
    </w:p>
    <w:sectPr w:rsidR="00892B7C" w:rsidSect="002861D8">
      <w:headerReference w:type="default" r:id="rId12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80" w:rsidRDefault="00A04280" w:rsidP="00786E84">
      <w:pPr>
        <w:spacing w:after="0" w:line="240" w:lineRule="auto"/>
      </w:pPr>
      <w:r>
        <w:separator/>
      </w:r>
    </w:p>
  </w:endnote>
  <w:endnote w:type="continuationSeparator" w:id="0">
    <w:p w:rsidR="00A04280" w:rsidRDefault="00A04280" w:rsidP="0078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80" w:rsidRDefault="00A04280" w:rsidP="00786E84">
      <w:pPr>
        <w:spacing w:after="0" w:line="240" w:lineRule="auto"/>
      </w:pPr>
      <w:r>
        <w:separator/>
      </w:r>
    </w:p>
  </w:footnote>
  <w:footnote w:type="continuationSeparator" w:id="0">
    <w:p w:rsidR="00A04280" w:rsidRDefault="00A04280" w:rsidP="0078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68" w:type="dxa"/>
      <w:tblInd w:w="-743" w:type="dxa"/>
      <w:tblLook w:val="04A0" w:firstRow="1" w:lastRow="0" w:firstColumn="1" w:lastColumn="0" w:noHBand="0" w:noVBand="1"/>
    </w:tblPr>
    <w:tblGrid>
      <w:gridCol w:w="3482"/>
      <w:gridCol w:w="1751"/>
      <w:gridCol w:w="2706"/>
      <w:gridCol w:w="3129"/>
    </w:tblGrid>
    <w:tr w:rsidR="002861D8" w:rsidRPr="005C16A7" w:rsidTr="002861D8">
      <w:trPr>
        <w:trHeight w:val="1840"/>
      </w:trPr>
      <w:tc>
        <w:tcPr>
          <w:tcW w:w="3482" w:type="dxa"/>
          <w:vAlign w:val="bottom"/>
        </w:tcPr>
        <w:p w:rsidR="002861D8" w:rsidRPr="005C16A7" w:rsidRDefault="002861D8" w:rsidP="00A973B8">
          <w:pPr>
            <w:jc w:val="center"/>
            <w:rPr>
              <w:rFonts w:eastAsia="Batang"/>
              <w:b/>
              <w:i/>
              <w:noProof/>
            </w:rPr>
          </w:pPr>
          <w:r>
            <w:rPr>
              <w:b/>
              <w:noProof/>
              <w:sz w:val="32"/>
            </w:rPr>
            <w:drawing>
              <wp:inline distT="0" distB="0" distL="0" distR="0" wp14:anchorId="30F723E8" wp14:editId="14295A98">
                <wp:extent cx="1247775" cy="485775"/>
                <wp:effectExtent l="19050" t="0" r="9525" b="0"/>
                <wp:docPr id="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11852E7F" wp14:editId="3D55773C">
                <wp:extent cx="628650" cy="638175"/>
                <wp:effectExtent l="19050" t="0" r="0" b="0"/>
                <wp:docPr id="7" name="Immagine 7" descr="ECVET_TEAM_Logo_ecvet_tex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ECVET_TEAM_Logo_ecvet_tex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1" w:type="dxa"/>
          <w:vAlign w:val="bottom"/>
        </w:tcPr>
        <w:p w:rsidR="002861D8" w:rsidRPr="005C16A7" w:rsidRDefault="002E3CDD" w:rsidP="00A973B8">
          <w:pPr>
            <w:jc w:val="center"/>
            <w:rPr>
              <w:rFonts w:eastAsia="Batang"/>
              <w:b/>
              <w:color w:val="000066"/>
              <w:sz w:val="16"/>
              <w:szCs w:val="16"/>
            </w:rPr>
          </w:pPr>
          <w:r>
            <w:rPr>
              <w:rFonts w:eastAsia="Batang"/>
              <w:b/>
              <w:noProof/>
              <w:color w:val="000066"/>
              <w:sz w:val="16"/>
              <w:szCs w:val="16"/>
            </w:rPr>
            <w:drawing>
              <wp:inline distT="0" distB="0" distL="0" distR="0" wp14:anchorId="12CBFC03" wp14:editId="368FAFF2">
                <wp:extent cx="841375" cy="680085"/>
                <wp:effectExtent l="0" t="0" r="0" b="5715"/>
                <wp:docPr id="2" name="Immagine 2" descr="logoML_Ist_PA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ML_Ist_PA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  <w:vAlign w:val="bottom"/>
        </w:tcPr>
        <w:p w:rsidR="002861D8" w:rsidRDefault="002861D8" w:rsidP="00A973B8">
          <w:pPr>
            <w:jc w:val="center"/>
            <w:rPr>
              <w:rFonts w:ascii="Edwardian Script ITC" w:hAnsi="Edwardian Script ITC"/>
              <w:noProof/>
              <w:color w:val="003366"/>
              <w:sz w:val="28"/>
              <w:szCs w:val="28"/>
            </w:rPr>
          </w:pPr>
        </w:p>
        <w:p w:rsidR="002861D8" w:rsidRDefault="002861D8" w:rsidP="002861D8">
          <w:pPr>
            <w:spacing w:after="0" w:line="240" w:lineRule="auto"/>
            <w:jc w:val="center"/>
            <w:rPr>
              <w:rFonts w:ascii="Edwardian Script ITC" w:hAnsi="Edwardian Script ITC"/>
              <w:noProof/>
              <w:color w:val="003366"/>
              <w:sz w:val="28"/>
              <w:szCs w:val="28"/>
            </w:rPr>
          </w:pPr>
          <w:r>
            <w:rPr>
              <w:rFonts w:ascii="Edwardian Script ITC" w:hAnsi="Edwardian Script ITC"/>
              <w:noProof/>
              <w:color w:val="003366"/>
              <w:sz w:val="28"/>
              <w:szCs w:val="28"/>
            </w:rPr>
            <w:drawing>
              <wp:inline distT="0" distB="0" distL="0" distR="0" wp14:anchorId="415D9AE0" wp14:editId="3F0B538C">
                <wp:extent cx="1543050" cy="504825"/>
                <wp:effectExtent l="19050" t="0" r="0" b="0"/>
                <wp:docPr id="81" name="Immagine 3" descr="logo_mi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mi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61D8" w:rsidRPr="00FF2190" w:rsidRDefault="002861D8" w:rsidP="002861D8">
          <w:pPr>
            <w:spacing w:after="0" w:line="240" w:lineRule="auto"/>
            <w:jc w:val="center"/>
            <w:rPr>
              <w:rFonts w:ascii="Garamond" w:hAnsi="Garamond"/>
              <w:b/>
              <w:i/>
              <w:noProof/>
              <w:color w:val="595959"/>
              <w:sz w:val="10"/>
              <w:szCs w:val="1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F2190">
            <w:rPr>
              <w:rFonts w:ascii="Garamond" w:hAnsi="Garamond"/>
              <w:b/>
              <w:i/>
              <w:noProof/>
              <w:color w:val="595959"/>
              <w:sz w:val="10"/>
              <w:szCs w:val="1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Dipartimento per la programmazione e la gestione delle         </w:t>
          </w:r>
        </w:p>
        <w:p w:rsidR="002861D8" w:rsidRPr="00550C96" w:rsidRDefault="002861D8" w:rsidP="002861D8">
          <w:pPr>
            <w:spacing w:after="0" w:line="240" w:lineRule="auto"/>
            <w:jc w:val="center"/>
            <w:rPr>
              <w:rFonts w:ascii="Edwardian Script ITC" w:hAnsi="Edwardian Script ITC"/>
              <w:b/>
              <w:noProof/>
              <w:color w:val="003366"/>
              <w:sz w:val="10"/>
              <w:szCs w:val="10"/>
            </w:rPr>
          </w:pPr>
          <w:r w:rsidRPr="00FF2190">
            <w:rPr>
              <w:rFonts w:ascii="Garamond" w:hAnsi="Garamond"/>
              <w:b/>
              <w:i/>
              <w:noProof/>
              <w:color w:val="595959"/>
              <w:sz w:val="10"/>
              <w:szCs w:val="1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risorse umane, finanziarie e strumentali</w:t>
          </w:r>
        </w:p>
        <w:p w:rsidR="002861D8" w:rsidRPr="001D62AE" w:rsidRDefault="002861D8" w:rsidP="002861D8">
          <w:pPr>
            <w:spacing w:after="0" w:line="240" w:lineRule="auto"/>
            <w:jc w:val="center"/>
            <w:rPr>
              <w:rFonts w:eastAsia="Batang"/>
              <w:b/>
              <w:i/>
              <w:noProof/>
            </w:rPr>
          </w:pPr>
          <w:smartTag w:uri="urn:schemas-microsoft-com:office:smarttags" w:element="PersonName">
            <w:r w:rsidRPr="00FF2190">
              <w:rPr>
                <w:rFonts w:ascii="Garamond" w:hAnsi="Garamond"/>
                <w:b/>
                <w:i/>
                <w:noProof/>
                <w:color w:val="595959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Direzione Generale</w:t>
            </w:r>
          </w:smartTag>
          <w:r w:rsidRPr="00FF2190">
            <w:rPr>
              <w:rFonts w:ascii="Garamond" w:hAnsi="Garamond"/>
              <w:b/>
              <w:i/>
              <w:noProof/>
              <w:color w:val="595959"/>
              <w:sz w:val="10"/>
              <w:szCs w:val="1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per gli Affari Internazionali</w:t>
          </w:r>
          <w:r w:rsidRPr="00550C96">
            <w:rPr>
              <w:rFonts w:ascii="Edwardian Script ITC" w:hAnsi="Edwardian Script ITC"/>
              <w:b/>
              <w:noProof/>
              <w:color w:val="003366"/>
              <w:sz w:val="10"/>
              <w:szCs w:val="10"/>
            </w:rPr>
            <w:t xml:space="preserve"> </w:t>
          </w:r>
        </w:p>
      </w:tc>
      <w:tc>
        <w:tcPr>
          <w:tcW w:w="3129" w:type="dxa"/>
          <w:vAlign w:val="bottom"/>
        </w:tcPr>
        <w:p w:rsidR="002861D8" w:rsidRPr="005C16A7" w:rsidRDefault="002861D8" w:rsidP="00A973B8">
          <w:pPr>
            <w:jc w:val="center"/>
            <w:rPr>
              <w:rFonts w:eastAsia="Batang"/>
              <w:b/>
              <w:i/>
              <w:noProof/>
            </w:rPr>
          </w:pPr>
          <w:r>
            <w:rPr>
              <w:rFonts w:eastAsia="Batang"/>
              <w:b/>
              <w:i/>
              <w:noProof/>
            </w:rPr>
            <w:t xml:space="preserve">                </w:t>
          </w:r>
          <w:r>
            <w:rPr>
              <w:rFonts w:eastAsia="Batang"/>
              <w:b/>
              <w:i/>
              <w:noProof/>
            </w:rPr>
            <w:drawing>
              <wp:inline distT="0" distB="0" distL="0" distR="0" wp14:anchorId="30910956" wp14:editId="471FFC29">
                <wp:extent cx="1362075" cy="295275"/>
                <wp:effectExtent l="19050" t="0" r="9525" b="0"/>
                <wp:docPr id="5" name="Immagine 14" descr="\\perseo\Procedura B\logo_AN-LLP-LdV\logo_ll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\\perseo\Procedura B\logo_AN-LLP-LdV\logo_ll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0EFA" w:rsidRPr="002861D8" w:rsidRDefault="00CE0EFA" w:rsidP="002861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93C"/>
    <w:multiLevelType w:val="hybridMultilevel"/>
    <w:tmpl w:val="2D5C9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626808"/>
    <w:multiLevelType w:val="hybridMultilevel"/>
    <w:tmpl w:val="995E5552"/>
    <w:lvl w:ilvl="0" w:tplc="0410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1A"/>
    <w:rsid w:val="00011BD0"/>
    <w:rsid w:val="00033E83"/>
    <w:rsid w:val="00053B7F"/>
    <w:rsid w:val="00067F88"/>
    <w:rsid w:val="000C0CD4"/>
    <w:rsid w:val="000D11B2"/>
    <w:rsid w:val="001A7AB0"/>
    <w:rsid w:val="001C237D"/>
    <w:rsid w:val="002218DD"/>
    <w:rsid w:val="002218EE"/>
    <w:rsid w:val="0025312E"/>
    <w:rsid w:val="00256BF1"/>
    <w:rsid w:val="00262C3E"/>
    <w:rsid w:val="002801AE"/>
    <w:rsid w:val="002861D8"/>
    <w:rsid w:val="0029732E"/>
    <w:rsid w:val="002A231A"/>
    <w:rsid w:val="002B2ACC"/>
    <w:rsid w:val="002B6E34"/>
    <w:rsid w:val="002D140A"/>
    <w:rsid w:val="002E2DE5"/>
    <w:rsid w:val="002E3CDD"/>
    <w:rsid w:val="002F46D4"/>
    <w:rsid w:val="00305120"/>
    <w:rsid w:val="00323282"/>
    <w:rsid w:val="00361507"/>
    <w:rsid w:val="003777D6"/>
    <w:rsid w:val="003F40D6"/>
    <w:rsid w:val="00424A27"/>
    <w:rsid w:val="004B0EED"/>
    <w:rsid w:val="004E673F"/>
    <w:rsid w:val="00506723"/>
    <w:rsid w:val="00515FE4"/>
    <w:rsid w:val="005342E4"/>
    <w:rsid w:val="00542D89"/>
    <w:rsid w:val="00556DAC"/>
    <w:rsid w:val="00564585"/>
    <w:rsid w:val="005706BF"/>
    <w:rsid w:val="005C36E8"/>
    <w:rsid w:val="0063656F"/>
    <w:rsid w:val="00641D85"/>
    <w:rsid w:val="0064299E"/>
    <w:rsid w:val="006479E7"/>
    <w:rsid w:val="00647E2E"/>
    <w:rsid w:val="00663FC8"/>
    <w:rsid w:val="00681A67"/>
    <w:rsid w:val="006A46B5"/>
    <w:rsid w:val="006B008D"/>
    <w:rsid w:val="006C7629"/>
    <w:rsid w:val="00703FF4"/>
    <w:rsid w:val="00707F21"/>
    <w:rsid w:val="00711752"/>
    <w:rsid w:val="0072274F"/>
    <w:rsid w:val="00737CD0"/>
    <w:rsid w:val="00786E84"/>
    <w:rsid w:val="007D0732"/>
    <w:rsid w:val="007E40E2"/>
    <w:rsid w:val="008345CD"/>
    <w:rsid w:val="00836B19"/>
    <w:rsid w:val="00863365"/>
    <w:rsid w:val="00892B7C"/>
    <w:rsid w:val="008B21E9"/>
    <w:rsid w:val="008C4B60"/>
    <w:rsid w:val="008E0A2E"/>
    <w:rsid w:val="00914752"/>
    <w:rsid w:val="009378AB"/>
    <w:rsid w:val="009616D9"/>
    <w:rsid w:val="00961DD7"/>
    <w:rsid w:val="00992E21"/>
    <w:rsid w:val="009F3E9B"/>
    <w:rsid w:val="009F54FF"/>
    <w:rsid w:val="00A04280"/>
    <w:rsid w:val="00A06DF1"/>
    <w:rsid w:val="00A4578C"/>
    <w:rsid w:val="00A56E3C"/>
    <w:rsid w:val="00A77B72"/>
    <w:rsid w:val="00A836E1"/>
    <w:rsid w:val="00AB27A8"/>
    <w:rsid w:val="00AC2C83"/>
    <w:rsid w:val="00AF0AD6"/>
    <w:rsid w:val="00B07E2A"/>
    <w:rsid w:val="00B54C1A"/>
    <w:rsid w:val="00B74B36"/>
    <w:rsid w:val="00C326F1"/>
    <w:rsid w:val="00C46DE9"/>
    <w:rsid w:val="00C66831"/>
    <w:rsid w:val="00C96AF9"/>
    <w:rsid w:val="00C96C1D"/>
    <w:rsid w:val="00CD434A"/>
    <w:rsid w:val="00CE0EFA"/>
    <w:rsid w:val="00D134A4"/>
    <w:rsid w:val="00D35B4D"/>
    <w:rsid w:val="00D42E21"/>
    <w:rsid w:val="00D50FBB"/>
    <w:rsid w:val="00D83D57"/>
    <w:rsid w:val="00D9073C"/>
    <w:rsid w:val="00DB6378"/>
    <w:rsid w:val="00E10F4B"/>
    <w:rsid w:val="00E3265D"/>
    <w:rsid w:val="00F15CA7"/>
    <w:rsid w:val="00F20C55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7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E84"/>
  </w:style>
  <w:style w:type="paragraph" w:styleId="Pidipagina">
    <w:name w:val="footer"/>
    <w:basedOn w:val="Normale"/>
    <w:link w:val="PidipaginaCarattere"/>
    <w:uiPriority w:val="99"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E84"/>
  </w:style>
  <w:style w:type="character" w:styleId="Collegamentoipertestuale">
    <w:name w:val="Hyperlink"/>
    <w:basedOn w:val="Carpredefinitoparagrafo"/>
    <w:uiPriority w:val="99"/>
    <w:unhideWhenUsed/>
    <w:rsid w:val="00892B7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2B7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2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7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E84"/>
  </w:style>
  <w:style w:type="paragraph" w:styleId="Pidipagina">
    <w:name w:val="footer"/>
    <w:basedOn w:val="Normale"/>
    <w:link w:val="PidipaginaCarattere"/>
    <w:uiPriority w:val="99"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E84"/>
  </w:style>
  <w:style w:type="character" w:styleId="Collegamentoipertestuale">
    <w:name w:val="Hyperlink"/>
    <w:basedOn w:val="Carpredefinitoparagrafo"/>
    <w:uiPriority w:val="99"/>
    <w:unhideWhenUsed/>
    <w:rsid w:val="00892B7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2B7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2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programmaleonardo.net/llp/home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5D5C5-121A-4820-A7EA-89E8DDE7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BiBB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leupold</dc:creator>
  <cp:lastModifiedBy>Romano Costanza</cp:lastModifiedBy>
  <cp:revision>2</cp:revision>
  <cp:lastPrinted>2012-09-13T12:36:00Z</cp:lastPrinted>
  <dcterms:created xsi:type="dcterms:W3CDTF">2013-06-21T13:29:00Z</dcterms:created>
  <dcterms:modified xsi:type="dcterms:W3CDTF">2013-06-21T13:29:00Z</dcterms:modified>
</cp:coreProperties>
</file>