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0E1" w:rsidRPr="002175B7" w:rsidRDefault="008530E1" w:rsidP="008530E1">
      <w:pPr>
        <w:rPr>
          <w:rFonts w:ascii="Times New Roman" w:hAnsi="Times New Roman"/>
          <w:b/>
          <w:sz w:val="28"/>
          <w:szCs w:val="28"/>
        </w:rPr>
      </w:pPr>
      <w:r w:rsidRPr="002175B7">
        <w:rPr>
          <w:rFonts w:ascii="Times New Roman" w:hAnsi="Times New Roman"/>
          <w:b/>
          <w:sz w:val="28"/>
          <w:szCs w:val="28"/>
        </w:rPr>
        <w:t>3.  Il sistema pubblico di formazione per l’apprendistato</w:t>
      </w:r>
    </w:p>
    <w:p w:rsidR="008530E1" w:rsidRPr="00D12CA8" w:rsidRDefault="008530E1" w:rsidP="008530E1">
      <w:pPr>
        <w:pStyle w:val="Paragrafoelenco"/>
        <w:ind w:left="1080"/>
        <w:rPr>
          <w:rFonts w:ascii="Times New Roman" w:hAnsi="Times New Roman"/>
          <w:b/>
          <w:sz w:val="24"/>
          <w:szCs w:val="24"/>
        </w:rPr>
      </w:pPr>
    </w:p>
    <w:p w:rsidR="008530E1" w:rsidRPr="00A20039" w:rsidRDefault="008530E1" w:rsidP="008530E1">
      <w:pPr>
        <w:pStyle w:val="Paragrafoelenco"/>
        <w:numPr>
          <w:ilvl w:val="1"/>
          <w:numId w:val="1"/>
        </w:numPr>
        <w:ind w:left="426" w:hanging="426"/>
        <w:rPr>
          <w:rFonts w:ascii="Times New Roman" w:hAnsi="Times New Roman"/>
          <w:b/>
          <w:sz w:val="24"/>
          <w:szCs w:val="24"/>
        </w:rPr>
      </w:pPr>
      <w:r w:rsidRPr="00A20039">
        <w:rPr>
          <w:rFonts w:ascii="Times New Roman" w:hAnsi="Times New Roman"/>
          <w:b/>
          <w:sz w:val="24"/>
          <w:szCs w:val="24"/>
        </w:rPr>
        <w:t xml:space="preserve">La formazione pubblica per l’apprendistato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Le informazioni inviate dalle amministrazioni regionali/provinciali, riguardo alle attività formative erogate in favore degli apprendisti, fanno riferimento all’annualità 2011. Si tratta quindi di interventi destinati ai giovani assunti con contratto di apprendistato sulla base del decreto legislativo n. 276/03; pertanto, i dati sugli apprendisti assunti in seguito all’entrata in vig</w:t>
      </w:r>
      <w:r>
        <w:rPr>
          <w:rFonts w:ascii="Times New Roman" w:hAnsi="Times New Roman"/>
          <w:sz w:val="24"/>
          <w:szCs w:val="24"/>
        </w:rPr>
        <w:t>ore del nuovo Testo Unico sull’A</w:t>
      </w:r>
      <w:r w:rsidRPr="00FD63B3">
        <w:rPr>
          <w:rFonts w:ascii="Times New Roman" w:hAnsi="Times New Roman"/>
          <w:sz w:val="24"/>
          <w:szCs w:val="24"/>
        </w:rPr>
        <w:t>pprendistato e gli effetti dello stesso sui sistemi di offerta formativa regionali saranno oggetto di approfondimento del prossimo rapporto di monitoraggio relativo all’anno 2012.</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A pochi mesi dal passaggio dalla vecchia alla nuova normativa, i sistemi regionali di formazione per l’apprendistato - implementati sulla base del d.lgs. 276/03 - sembrano mostrare una maggiore efficacia in termini di utenza coinvolta. I volumi dell’offerta formativa erogata dalle Regioni e Province Autonome registrano, infatti</w:t>
      </w:r>
      <w:r w:rsidRPr="006F1B90">
        <w:rPr>
          <w:rFonts w:ascii="Times New Roman" w:hAnsi="Times New Roman"/>
          <w:sz w:val="24"/>
          <w:szCs w:val="24"/>
        </w:rPr>
        <w:t>, un incremento rispetto all’anno precedente pari al 16,7% e</w:t>
      </w:r>
      <w:r w:rsidRPr="00FD63B3">
        <w:rPr>
          <w:rFonts w:ascii="Times New Roman" w:hAnsi="Times New Roman"/>
          <w:sz w:val="24"/>
          <w:szCs w:val="24"/>
        </w:rPr>
        <w:t xml:space="preserve"> il numero dei giovani inseriti in attività formative per l’apprendistato nel 2011 raggiunge le 159.682 unità </w:t>
      </w:r>
      <w:r w:rsidRPr="00534D79">
        <w:rPr>
          <w:rFonts w:ascii="Times New Roman" w:hAnsi="Times New Roman"/>
          <w:sz w:val="24"/>
          <w:szCs w:val="24"/>
        </w:rPr>
        <w:t>(cfr. tab.</w:t>
      </w:r>
      <w:r>
        <w:rPr>
          <w:rFonts w:ascii="Times New Roman" w:hAnsi="Times New Roman"/>
          <w:sz w:val="24"/>
          <w:szCs w:val="24"/>
        </w:rPr>
        <w:t xml:space="preserve"> 29</w:t>
      </w:r>
      <w:r w:rsidRPr="00FD63B3">
        <w:rPr>
          <w:rFonts w:ascii="Times New Roman" w:hAnsi="Times New Roman"/>
          <w:sz w:val="24"/>
          <w:szCs w:val="24"/>
        </w:rPr>
        <w:t>)</w:t>
      </w:r>
      <w:r w:rsidRPr="00FD63B3">
        <w:rPr>
          <w:rStyle w:val="Rimandonotaapidipagina"/>
          <w:rFonts w:ascii="Times New Roman" w:hAnsi="Times New Roman"/>
          <w:sz w:val="24"/>
          <w:szCs w:val="24"/>
        </w:rPr>
        <w:t xml:space="preserve"> </w:t>
      </w:r>
      <w:r w:rsidRPr="00FD63B3">
        <w:rPr>
          <w:rStyle w:val="Rimandonotaapidipagina"/>
          <w:rFonts w:ascii="Times New Roman" w:hAnsi="Times New Roman"/>
          <w:sz w:val="24"/>
          <w:szCs w:val="24"/>
        </w:rPr>
        <w:footnoteReference w:id="1"/>
      </w:r>
      <w:r w:rsidRPr="00FD63B3">
        <w:rPr>
          <w:rFonts w:ascii="Times New Roman" w:hAnsi="Times New Roman"/>
          <w:sz w:val="24"/>
          <w:szCs w:val="24"/>
        </w:rPr>
        <w:t>.</w:t>
      </w:r>
    </w:p>
    <w:p w:rsidR="008530E1" w:rsidRDefault="008530E1" w:rsidP="008530E1">
      <w:pPr>
        <w:spacing w:after="0" w:line="240" w:lineRule="auto"/>
        <w:jc w:val="both"/>
        <w:rPr>
          <w:rFonts w:ascii="Times New Roman" w:hAnsi="Times New Roman"/>
          <w:b/>
        </w:rPr>
      </w:pPr>
    </w:p>
    <w:p w:rsidR="008530E1" w:rsidRPr="00FD63B3" w:rsidRDefault="008530E1" w:rsidP="008530E1">
      <w:pPr>
        <w:spacing w:after="0" w:line="240" w:lineRule="auto"/>
        <w:jc w:val="both"/>
        <w:rPr>
          <w:rFonts w:ascii="Times New Roman" w:hAnsi="Times New Roman"/>
          <w:b/>
        </w:rPr>
      </w:pPr>
      <w:r>
        <w:rPr>
          <w:rFonts w:ascii="Times New Roman" w:hAnsi="Times New Roman"/>
          <w:b/>
        </w:rPr>
        <w:t xml:space="preserve">Tabella 29 </w:t>
      </w:r>
      <w:r w:rsidRPr="00FD63B3">
        <w:rPr>
          <w:rFonts w:ascii="Times New Roman" w:hAnsi="Times New Roman"/>
          <w:b/>
        </w:rPr>
        <w:t>– Apprendisti iscritti alle attività di formazione pubblica realizzat</w:t>
      </w:r>
      <w:r>
        <w:rPr>
          <w:rFonts w:ascii="Times New Roman" w:hAnsi="Times New Roman"/>
          <w:b/>
        </w:rPr>
        <w:t>e</w:t>
      </w:r>
      <w:r w:rsidRPr="00FD63B3">
        <w:rPr>
          <w:rFonts w:ascii="Times New Roman" w:hAnsi="Times New Roman"/>
          <w:b/>
        </w:rPr>
        <w:t xml:space="preserve"> negli anni 2010 e 2011</w:t>
      </w:r>
      <w:r>
        <w:rPr>
          <w:rFonts w:ascii="Times New Roman" w:hAnsi="Times New Roman"/>
          <w:b/>
        </w:rPr>
        <w:t xml:space="preserve"> </w:t>
      </w:r>
      <w:r w:rsidRPr="00437BEC">
        <w:rPr>
          <w:rFonts w:ascii="Times New Roman" w:hAnsi="Times New Roman"/>
          <w:b/>
        </w:rPr>
        <w:t>e relativo tasso di copertura per Regione e ripartizione geografica - Valori assoluti e percentuali</w:t>
      </w:r>
      <w:r w:rsidRPr="00FD63B3">
        <w:rPr>
          <w:rFonts w:ascii="Times New Roman" w:hAnsi="Times New Roman"/>
          <w:b/>
        </w:rPr>
        <w:t xml:space="preserve"> </w:t>
      </w:r>
    </w:p>
    <w:tbl>
      <w:tblPr>
        <w:tblW w:w="5000" w:type="pct"/>
        <w:tblCellMar>
          <w:left w:w="70" w:type="dxa"/>
          <w:right w:w="70" w:type="dxa"/>
        </w:tblCellMar>
        <w:tblLook w:val="04A0"/>
      </w:tblPr>
      <w:tblGrid>
        <w:gridCol w:w="2482"/>
        <w:gridCol w:w="1877"/>
        <w:gridCol w:w="1674"/>
        <w:gridCol w:w="1877"/>
        <w:gridCol w:w="1868"/>
      </w:tblGrid>
      <w:tr w:rsidR="008530E1" w:rsidRPr="00FD63B3" w:rsidTr="00CA64D3">
        <w:trPr>
          <w:trHeight w:val="284"/>
        </w:trPr>
        <w:tc>
          <w:tcPr>
            <w:tcW w:w="1269" w:type="pct"/>
            <w:vMerge w:val="restart"/>
            <w:tcBorders>
              <w:top w:val="single" w:sz="4" w:space="0" w:color="auto"/>
              <w:left w:val="nil"/>
              <w:bottom w:val="nil"/>
              <w:right w:val="nil"/>
            </w:tcBorders>
            <w:shd w:val="clear" w:color="auto" w:fill="auto"/>
            <w:vAlign w:val="center"/>
          </w:tcPr>
          <w:p w:rsidR="008530E1" w:rsidRPr="00FD63B3" w:rsidRDefault="008530E1" w:rsidP="00CA64D3">
            <w:pPr>
              <w:spacing w:after="0" w:line="240" w:lineRule="auto"/>
              <w:rPr>
                <w:rFonts w:ascii="Times New Roman" w:hAnsi="Times New Roman"/>
                <w:b/>
                <w:color w:val="000000"/>
                <w:sz w:val="20"/>
                <w:szCs w:val="20"/>
              </w:rPr>
            </w:pPr>
            <w:r w:rsidRPr="00FD63B3">
              <w:rPr>
                <w:rFonts w:ascii="Times New Roman" w:hAnsi="Times New Roman"/>
                <w:b/>
                <w:color w:val="000000"/>
                <w:sz w:val="20"/>
                <w:szCs w:val="20"/>
              </w:rPr>
              <w:t>Regioni</w:t>
            </w:r>
          </w:p>
        </w:tc>
        <w:tc>
          <w:tcPr>
            <w:tcW w:w="1816" w:type="pct"/>
            <w:gridSpan w:val="2"/>
            <w:tcBorders>
              <w:top w:val="single" w:sz="4" w:space="0" w:color="auto"/>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2010</w:t>
            </w:r>
          </w:p>
        </w:tc>
        <w:tc>
          <w:tcPr>
            <w:tcW w:w="1915" w:type="pct"/>
            <w:gridSpan w:val="2"/>
            <w:tcBorders>
              <w:top w:val="single" w:sz="4" w:space="0" w:color="auto"/>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2011</w:t>
            </w:r>
          </w:p>
        </w:tc>
      </w:tr>
      <w:tr w:rsidR="008530E1" w:rsidRPr="00FD63B3" w:rsidTr="00CA64D3">
        <w:trPr>
          <w:trHeight w:val="454"/>
        </w:trPr>
        <w:tc>
          <w:tcPr>
            <w:tcW w:w="1269" w:type="pct"/>
            <w:vMerge/>
            <w:tcBorders>
              <w:top w:val="single" w:sz="4" w:space="0" w:color="auto"/>
              <w:left w:val="nil"/>
              <w:bottom w:val="nil"/>
              <w:right w:val="nil"/>
            </w:tcBorders>
            <w:vAlign w:val="center"/>
          </w:tcPr>
          <w:p w:rsidR="008530E1" w:rsidRPr="00FD63B3" w:rsidRDefault="008530E1" w:rsidP="00CA64D3">
            <w:pPr>
              <w:spacing w:after="0" w:line="240" w:lineRule="auto"/>
              <w:rPr>
                <w:rFonts w:ascii="Times New Roman" w:hAnsi="Times New Roman"/>
                <w:b/>
                <w:color w:val="000000"/>
                <w:sz w:val="20"/>
                <w:szCs w:val="20"/>
              </w:rPr>
            </w:pPr>
          </w:p>
        </w:tc>
        <w:tc>
          <w:tcPr>
            <w:tcW w:w="960"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iscritti</w:t>
            </w:r>
          </w:p>
        </w:tc>
        <w:tc>
          <w:tcPr>
            <w:tcW w:w="856"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 iscritti/ occupati</w:t>
            </w:r>
          </w:p>
        </w:tc>
        <w:tc>
          <w:tcPr>
            <w:tcW w:w="960"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iscritti</w:t>
            </w:r>
          </w:p>
        </w:tc>
        <w:tc>
          <w:tcPr>
            <w:tcW w:w="955" w:type="pct"/>
            <w:tcBorders>
              <w:top w:val="nil"/>
              <w:left w:val="nil"/>
              <w:bottom w:val="nil"/>
              <w:right w:val="nil"/>
            </w:tcBorders>
            <w:shd w:val="clear" w:color="auto" w:fill="auto"/>
            <w:vAlign w:val="center"/>
          </w:tcPr>
          <w:p w:rsidR="008530E1"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 iscritti/</w:t>
            </w:r>
          </w:p>
          <w:p w:rsidR="008530E1" w:rsidRPr="00FD63B3" w:rsidRDefault="008530E1" w:rsidP="00CA64D3">
            <w:pPr>
              <w:spacing w:after="0" w:line="240" w:lineRule="auto"/>
              <w:jc w:val="center"/>
              <w:rPr>
                <w:rFonts w:ascii="Times New Roman" w:hAnsi="Times New Roman"/>
                <w:b/>
                <w:color w:val="000000"/>
                <w:sz w:val="20"/>
                <w:szCs w:val="20"/>
              </w:rPr>
            </w:pPr>
            <w:r w:rsidRPr="00FD63B3">
              <w:rPr>
                <w:rFonts w:ascii="Times New Roman" w:hAnsi="Times New Roman"/>
                <w:b/>
                <w:color w:val="000000"/>
                <w:sz w:val="20"/>
                <w:szCs w:val="20"/>
              </w:rPr>
              <w:t>occupati</w:t>
            </w:r>
          </w:p>
        </w:tc>
      </w:tr>
      <w:tr w:rsidR="008530E1" w:rsidRPr="00FD63B3" w:rsidTr="00CA64D3">
        <w:trPr>
          <w:trHeight w:val="360"/>
        </w:trPr>
        <w:tc>
          <w:tcPr>
            <w:tcW w:w="1269"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Piemonte</w:t>
            </w:r>
          </w:p>
        </w:tc>
        <w:tc>
          <w:tcPr>
            <w:tcW w:w="960" w:type="pct"/>
            <w:tcBorders>
              <w:top w:val="single" w:sz="4" w:space="0" w:color="auto"/>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23.141</w:t>
            </w:r>
          </w:p>
        </w:tc>
        <w:tc>
          <w:tcPr>
            <w:tcW w:w="856"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49,5</w:t>
            </w:r>
          </w:p>
        </w:tc>
        <w:tc>
          <w:tcPr>
            <w:tcW w:w="960" w:type="pct"/>
            <w:tcBorders>
              <w:top w:val="single" w:sz="4" w:space="0" w:color="auto"/>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27.743</w:t>
            </w:r>
          </w:p>
        </w:tc>
        <w:tc>
          <w:tcPr>
            <w:tcW w:w="955"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64,3</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Valle d'Aosta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402</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22,7</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799</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45,3</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Lombardia</w:t>
            </w:r>
          </w:p>
        </w:tc>
        <w:tc>
          <w:tcPr>
            <w:tcW w:w="960"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16.314</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17,9</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23.333</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27,9</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Prov. Bolzano</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3.582</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84,4</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3.280</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79,6</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Prov. Trento</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5.125</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79,6</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4.756</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80,2</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Veneto</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6.358</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9,5</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18.750</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29,5</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Friuli Venezia Giulia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8.289</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75,3</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7.416</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73,7</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Liguria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2.308</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12,5</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2.833</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15,9</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Emilia Romagna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34.892</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66,5</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43.521</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86,4</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Toscana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7.771</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16,1</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5.065</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11,1</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 xml:space="preserve">Umbria </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1.089</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7,3</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611</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4,5</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Marche</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7.189</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29,7</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6.324</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28,3</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Lazio</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4.751</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4.738</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9,6</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Abruzzo</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2.662</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26,4</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2.886</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31,2</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Molise</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i/>
                <w:iCs/>
                <w:sz w:val="20"/>
                <w:szCs w:val="20"/>
              </w:rPr>
            </w:pPr>
            <w:r w:rsidRPr="00FD63B3">
              <w:rPr>
                <w:rFonts w:ascii="Times New Roman" w:hAnsi="Times New Roman"/>
                <w:i/>
                <w:iCs/>
                <w:sz w:val="20"/>
                <w:szCs w:val="20"/>
              </w:rPr>
              <w:t>-</w:t>
            </w:r>
          </w:p>
        </w:tc>
        <w:tc>
          <w:tcPr>
            <w:tcW w:w="856"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299</w:t>
            </w:r>
          </w:p>
        </w:tc>
        <w:tc>
          <w:tcPr>
            <w:tcW w:w="955"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22,</w:t>
            </w:r>
            <w:r>
              <w:rPr>
                <w:rFonts w:ascii="Times New Roman" w:hAnsi="Times New Roman"/>
                <w:color w:val="000000"/>
                <w:sz w:val="20"/>
                <w:szCs w:val="20"/>
              </w:rPr>
              <w:t>5</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Campania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887</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4,4</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1.260</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6,8</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 xml:space="preserve">Puglia </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7.505</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27,9</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4.004</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16,9</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 xml:space="preserve">Basilicata </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528</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18,6</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560</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22,1</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 xml:space="preserve">Calabria </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iCs/>
                <w:sz w:val="20"/>
                <w:szCs w:val="20"/>
              </w:rPr>
            </w:pPr>
            <w:r w:rsidRPr="00FD63B3">
              <w:rPr>
                <w:rFonts w:ascii="Times New Roman" w:hAnsi="Times New Roman"/>
                <w:iCs/>
                <w:sz w:val="20"/>
                <w:szCs w:val="20"/>
              </w:rPr>
              <w:t>0</w:t>
            </w:r>
          </w:p>
        </w:tc>
        <w:tc>
          <w:tcPr>
            <w:tcW w:w="856"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0</w:t>
            </w:r>
          </w:p>
        </w:tc>
        <w:tc>
          <w:tcPr>
            <w:tcW w:w="955"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 xml:space="preserve">Sicilia </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3.997</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16,1</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1.412</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6,0</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sz w:val="20"/>
                <w:szCs w:val="20"/>
              </w:rPr>
            </w:pPr>
            <w:r w:rsidRPr="00FD63B3">
              <w:rPr>
                <w:rFonts w:ascii="Times New Roman" w:hAnsi="Times New Roman"/>
                <w:sz w:val="20"/>
                <w:szCs w:val="20"/>
              </w:rPr>
              <w:t>Sardegna</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46</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0,5</w:t>
            </w:r>
          </w:p>
        </w:tc>
        <w:tc>
          <w:tcPr>
            <w:tcW w:w="960" w:type="pct"/>
            <w:tcBorders>
              <w:top w:val="nil"/>
              <w:left w:val="nil"/>
              <w:bottom w:val="nil"/>
              <w:right w:val="nil"/>
            </w:tcBorders>
            <w:shd w:val="clear" w:color="auto" w:fill="auto"/>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92</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1,3</w:t>
            </w:r>
          </w:p>
        </w:tc>
      </w:tr>
      <w:tr w:rsidR="008530E1" w:rsidRPr="00FD63B3" w:rsidTr="00CA64D3">
        <w:trPr>
          <w:trHeight w:val="540"/>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lastRenderedPageBreak/>
              <w:t>Nord</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100.411</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33,6</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132.431</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47,2</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i/>
                <w:color w:val="000000"/>
                <w:sz w:val="20"/>
                <w:szCs w:val="20"/>
              </w:rPr>
            </w:pPr>
            <w:r w:rsidRPr="00FD63B3">
              <w:rPr>
                <w:rFonts w:ascii="Times New Roman" w:hAnsi="Times New Roman"/>
                <w:i/>
                <w:color w:val="000000"/>
                <w:sz w:val="20"/>
                <w:szCs w:val="20"/>
              </w:rPr>
              <w:t>Nord-Ovest</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42.165</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26,7</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54.708</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37,4</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i/>
                <w:color w:val="000000"/>
                <w:sz w:val="20"/>
                <w:szCs w:val="20"/>
              </w:rPr>
            </w:pPr>
            <w:r w:rsidRPr="00FD63B3">
              <w:rPr>
                <w:rFonts w:ascii="Times New Roman" w:hAnsi="Times New Roman"/>
                <w:i/>
                <w:color w:val="000000"/>
                <w:sz w:val="20"/>
                <w:szCs w:val="20"/>
              </w:rPr>
              <w:t>Nord-Est</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58.246</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41,3</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77.723</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58,0</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t>Centro</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20.800</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14,8</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16.738</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12,8</w:t>
            </w:r>
          </w:p>
        </w:tc>
      </w:tr>
      <w:tr w:rsidR="008530E1" w:rsidRPr="00FD63B3" w:rsidTr="00CA64D3">
        <w:trPr>
          <w:trHeight w:val="315"/>
        </w:trPr>
        <w:tc>
          <w:tcPr>
            <w:tcW w:w="1269"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t>Sud e Isole</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15.625</w:t>
            </w:r>
          </w:p>
        </w:tc>
        <w:tc>
          <w:tcPr>
            <w:tcW w:w="856"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19,3</w:t>
            </w:r>
          </w:p>
        </w:tc>
        <w:tc>
          <w:tcPr>
            <w:tcW w:w="96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10.513</w:t>
            </w:r>
          </w:p>
        </w:tc>
        <w:tc>
          <w:tcPr>
            <w:tcW w:w="955"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12,</w:t>
            </w:r>
            <w:r>
              <w:rPr>
                <w:rFonts w:ascii="Times New Roman" w:hAnsi="Times New Roman"/>
                <w:color w:val="000000"/>
                <w:sz w:val="20"/>
                <w:szCs w:val="20"/>
              </w:rPr>
              <w:t>2</w:t>
            </w:r>
          </w:p>
        </w:tc>
      </w:tr>
      <w:tr w:rsidR="008530E1" w:rsidRPr="00FD63B3" w:rsidTr="00CA64D3">
        <w:trPr>
          <w:trHeight w:val="315"/>
        </w:trPr>
        <w:tc>
          <w:tcPr>
            <w:tcW w:w="1269"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rPr>
                <w:rFonts w:ascii="Times New Roman" w:hAnsi="Times New Roman"/>
                <w:b/>
                <w:bCs/>
                <w:color w:val="000000"/>
                <w:sz w:val="20"/>
                <w:szCs w:val="20"/>
              </w:rPr>
            </w:pPr>
            <w:r w:rsidRPr="00FD63B3">
              <w:rPr>
                <w:rFonts w:ascii="Times New Roman" w:hAnsi="Times New Roman"/>
                <w:b/>
                <w:bCs/>
                <w:color w:val="000000"/>
                <w:sz w:val="20"/>
                <w:szCs w:val="20"/>
              </w:rPr>
              <w:t>Italia</w:t>
            </w:r>
          </w:p>
        </w:tc>
        <w:tc>
          <w:tcPr>
            <w:tcW w:w="960"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136.836</w:t>
            </w:r>
          </w:p>
        </w:tc>
        <w:tc>
          <w:tcPr>
            <w:tcW w:w="856"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26,3</w:t>
            </w:r>
          </w:p>
        </w:tc>
        <w:tc>
          <w:tcPr>
            <w:tcW w:w="960"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159.682</w:t>
            </w:r>
          </w:p>
        </w:tc>
        <w:tc>
          <w:tcPr>
            <w:tcW w:w="955"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Pr>
                <w:rFonts w:ascii="Times New Roman" w:hAnsi="Times New Roman"/>
                <w:b/>
                <w:bCs/>
                <w:sz w:val="20"/>
                <w:szCs w:val="20"/>
              </w:rPr>
              <w:t>32,1</w:t>
            </w:r>
          </w:p>
        </w:tc>
      </w:tr>
    </w:tbl>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sz w:val="18"/>
          <w:szCs w:val="18"/>
        </w:rPr>
        <w:t xml:space="preserve"> (a) I dati sull’occupazione sono quelli INPS; nel calcolare la quota percentuale per macro-area sono state considerate solo le Regioni per le quali sono pervenuti i dati sugli apprendisti partecipanti alla formazione.</w:t>
      </w:r>
    </w:p>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i/>
          <w:sz w:val="18"/>
          <w:szCs w:val="18"/>
        </w:rPr>
        <w:t xml:space="preserve">Fonte: </w:t>
      </w:r>
      <w:r>
        <w:rPr>
          <w:rFonts w:ascii="Times New Roman" w:hAnsi="Times New Roman"/>
          <w:sz w:val="18"/>
          <w:szCs w:val="18"/>
        </w:rPr>
        <w:t>elaborazione</w:t>
      </w:r>
      <w:r w:rsidRPr="00FD63B3">
        <w:rPr>
          <w:rFonts w:ascii="Times New Roman" w:hAnsi="Times New Roman"/>
          <w:sz w:val="18"/>
          <w:szCs w:val="18"/>
        </w:rPr>
        <w:t xml:space="preserve"> Isfol su dati regionali e dati INPS.</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L’aumento del numero di giovani avviati in formazione incide positivamente sul tasso di copertura, ovvero sul rapporto fra apprendisti occupati e apprendisti inseriti nei percorsi di formazione organizzati dalle Regioni e Province Autonome. Nel 2011 la percentuale di giovani che ha preso parte alle attività forma</w:t>
      </w:r>
      <w:r>
        <w:rPr>
          <w:rFonts w:ascii="Times New Roman" w:hAnsi="Times New Roman"/>
          <w:sz w:val="24"/>
          <w:szCs w:val="24"/>
        </w:rPr>
        <w:t>tive raggiunge, infatti, il 32,1</w:t>
      </w:r>
      <w:r w:rsidRPr="00FD63B3">
        <w:rPr>
          <w:rFonts w:ascii="Times New Roman" w:hAnsi="Times New Roman"/>
          <w:sz w:val="24"/>
          <w:szCs w:val="24"/>
        </w:rPr>
        <w:t>% con un incremento di oltre cinque punti percentuali rispetto all’anno precedente (26,3%).</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La maggiore efficacia dei sistemi di offerta formativa può essere attribuita sia ad una maggiore solidità dei sistemi regionali di for</w:t>
      </w:r>
      <w:r>
        <w:rPr>
          <w:rFonts w:ascii="Times New Roman" w:hAnsi="Times New Roman"/>
          <w:sz w:val="24"/>
          <w:szCs w:val="24"/>
        </w:rPr>
        <w:t>mazione per l’apprendistato, sia</w:t>
      </w:r>
      <w:r w:rsidRPr="00FD63B3">
        <w:rPr>
          <w:rFonts w:ascii="Times New Roman" w:hAnsi="Times New Roman"/>
          <w:sz w:val="24"/>
          <w:szCs w:val="24"/>
        </w:rPr>
        <w:t xml:space="preserve"> alla contrazione dell</w:t>
      </w:r>
      <w:r>
        <w:rPr>
          <w:rFonts w:ascii="Times New Roman" w:hAnsi="Times New Roman"/>
          <w:sz w:val="24"/>
          <w:szCs w:val="24"/>
        </w:rPr>
        <w:t xml:space="preserve">’occupazione in apprendistato, </w:t>
      </w:r>
      <w:r w:rsidRPr="00FD63B3">
        <w:rPr>
          <w:rFonts w:ascii="Times New Roman" w:hAnsi="Times New Roman"/>
          <w:sz w:val="24"/>
          <w:szCs w:val="24"/>
        </w:rPr>
        <w:t>probabile effetto della crisi economica</w:t>
      </w:r>
      <w:r>
        <w:rPr>
          <w:rFonts w:ascii="Times New Roman" w:hAnsi="Times New Roman"/>
          <w:sz w:val="24"/>
          <w:szCs w:val="24"/>
        </w:rPr>
        <w:t>, che ha ridotto</w:t>
      </w:r>
      <w:r w:rsidRPr="00FD63B3">
        <w:rPr>
          <w:rFonts w:ascii="Times New Roman" w:hAnsi="Times New Roman"/>
          <w:sz w:val="24"/>
          <w:szCs w:val="24"/>
        </w:rPr>
        <w:t xml:space="preserve"> l’utenza potenziale. </w:t>
      </w:r>
      <w:r>
        <w:rPr>
          <w:rFonts w:ascii="Times New Roman" w:hAnsi="Times New Roman"/>
          <w:sz w:val="24"/>
          <w:szCs w:val="24"/>
        </w:rPr>
        <w:t>I</w:t>
      </w:r>
      <w:r w:rsidRPr="00FD63B3">
        <w:rPr>
          <w:rFonts w:ascii="Times New Roman" w:hAnsi="Times New Roman"/>
          <w:sz w:val="24"/>
          <w:szCs w:val="24"/>
        </w:rPr>
        <w:t xml:space="preserve"> sistemi formativi impleme</w:t>
      </w:r>
      <w:r>
        <w:rPr>
          <w:rFonts w:ascii="Times New Roman" w:hAnsi="Times New Roman"/>
          <w:sz w:val="24"/>
          <w:szCs w:val="24"/>
        </w:rPr>
        <w:t xml:space="preserve">ntati sul territorio nazionale </w:t>
      </w:r>
      <w:r w:rsidRPr="00FD63B3">
        <w:rPr>
          <w:rFonts w:ascii="Times New Roman" w:hAnsi="Times New Roman"/>
          <w:sz w:val="24"/>
          <w:szCs w:val="24"/>
        </w:rPr>
        <w:t>hanno incrementato il volume dell’offerta</w:t>
      </w:r>
      <w:r>
        <w:rPr>
          <w:rFonts w:ascii="Times New Roman" w:hAnsi="Times New Roman"/>
          <w:sz w:val="24"/>
          <w:szCs w:val="24"/>
        </w:rPr>
        <w:t xml:space="preserve"> sebbene la domanda di formazione si sia ridotta in conseguenza della diminuzione degli occupati in apprendistato</w:t>
      </w:r>
      <w:r w:rsidRPr="00FD63B3">
        <w:rPr>
          <w:rFonts w:ascii="Times New Roman" w:hAnsi="Times New Roman"/>
          <w:sz w:val="24"/>
          <w:szCs w:val="24"/>
        </w:rPr>
        <w:t xml:space="preserve">. </w:t>
      </w:r>
    </w:p>
    <w:p w:rsidR="008530E1" w:rsidRPr="00534D79"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Se si volge l’attenzione verso le singole ripartizioni geografiche si rileva, tuttavia, come quanto osservato a livel</w:t>
      </w:r>
      <w:r>
        <w:rPr>
          <w:rFonts w:ascii="Times New Roman" w:hAnsi="Times New Roman"/>
          <w:sz w:val="24"/>
          <w:szCs w:val="24"/>
        </w:rPr>
        <w:t>lo nazionale sia ascrivibile</w:t>
      </w:r>
      <w:r w:rsidRPr="00FD63B3">
        <w:rPr>
          <w:rFonts w:ascii="Times New Roman" w:hAnsi="Times New Roman"/>
          <w:sz w:val="24"/>
          <w:szCs w:val="24"/>
        </w:rPr>
        <w:t xml:space="preserve"> alle sole aree settentrionali. Infatti, l’incremento nel tasso di copertura medio nazionale si spiega con l’aumento del volume di offerta formativa </w:t>
      </w:r>
      <w:r>
        <w:rPr>
          <w:rFonts w:ascii="Times New Roman" w:hAnsi="Times New Roman"/>
          <w:sz w:val="24"/>
          <w:szCs w:val="24"/>
        </w:rPr>
        <w:t>registrato nel</w:t>
      </w:r>
      <w:r w:rsidRPr="00FD63B3">
        <w:rPr>
          <w:rFonts w:ascii="Times New Roman" w:hAnsi="Times New Roman"/>
          <w:sz w:val="24"/>
          <w:szCs w:val="24"/>
        </w:rPr>
        <w:t xml:space="preserve"> Nord Italia,</w:t>
      </w:r>
      <w:r>
        <w:rPr>
          <w:rFonts w:ascii="Times New Roman" w:hAnsi="Times New Roman"/>
          <w:sz w:val="24"/>
          <w:szCs w:val="24"/>
        </w:rPr>
        <w:t xml:space="preserve"> mentre il resto della P</w:t>
      </w:r>
      <w:r w:rsidRPr="00FD63B3">
        <w:rPr>
          <w:rFonts w:ascii="Times New Roman" w:hAnsi="Times New Roman"/>
          <w:sz w:val="24"/>
          <w:szCs w:val="24"/>
        </w:rPr>
        <w:t>enisola vede contrarsi il rapporto fra apprendisti occupati e formati</w:t>
      </w:r>
      <w:r>
        <w:rPr>
          <w:rFonts w:ascii="Times New Roman" w:hAnsi="Times New Roman"/>
          <w:sz w:val="24"/>
          <w:szCs w:val="24"/>
        </w:rPr>
        <w:t xml:space="preserve"> </w:t>
      </w:r>
      <w:r w:rsidRPr="00534D79">
        <w:rPr>
          <w:rFonts w:ascii="Times New Roman" w:hAnsi="Times New Roman"/>
          <w:sz w:val="24"/>
          <w:szCs w:val="24"/>
        </w:rPr>
        <w:t xml:space="preserve">(cfr. </w:t>
      </w:r>
      <w:proofErr w:type="spellStart"/>
      <w:r w:rsidRPr="00534D79">
        <w:rPr>
          <w:rFonts w:ascii="Times New Roman" w:hAnsi="Times New Roman"/>
          <w:sz w:val="24"/>
          <w:szCs w:val="24"/>
        </w:rPr>
        <w:t>graf</w:t>
      </w:r>
      <w:proofErr w:type="spellEnd"/>
      <w:r w:rsidRPr="00534D79">
        <w:rPr>
          <w:rFonts w:ascii="Times New Roman" w:hAnsi="Times New Roman"/>
          <w:sz w:val="24"/>
          <w:szCs w:val="24"/>
        </w:rPr>
        <w:t xml:space="preserve">. </w:t>
      </w:r>
      <w:r>
        <w:rPr>
          <w:rFonts w:ascii="Times New Roman" w:hAnsi="Times New Roman"/>
          <w:sz w:val="24"/>
          <w:szCs w:val="24"/>
        </w:rPr>
        <w:t>8</w:t>
      </w:r>
      <w:r w:rsidRPr="00534D79">
        <w:rPr>
          <w:rFonts w:ascii="Times New Roman" w:hAnsi="Times New Roman"/>
          <w:sz w:val="24"/>
          <w:szCs w:val="24"/>
        </w:rPr>
        <w:t>).</w:t>
      </w:r>
    </w:p>
    <w:p w:rsidR="008530E1" w:rsidRPr="00534D79" w:rsidRDefault="008530E1" w:rsidP="008530E1">
      <w:pPr>
        <w:autoSpaceDE w:val="0"/>
        <w:autoSpaceDN w:val="0"/>
        <w:adjustRightInd w:val="0"/>
        <w:jc w:val="both"/>
        <w:rPr>
          <w:rFonts w:ascii="Times New Roman" w:hAnsi="Times New Roman"/>
          <w:b/>
        </w:rPr>
      </w:pPr>
    </w:p>
    <w:p w:rsidR="008530E1" w:rsidRPr="00534D79" w:rsidRDefault="008530E1" w:rsidP="008530E1">
      <w:pPr>
        <w:autoSpaceDE w:val="0"/>
        <w:autoSpaceDN w:val="0"/>
        <w:adjustRightInd w:val="0"/>
        <w:spacing w:after="0" w:line="240" w:lineRule="auto"/>
        <w:jc w:val="both"/>
        <w:rPr>
          <w:rFonts w:ascii="Times New Roman" w:hAnsi="Times New Roman"/>
          <w:b/>
        </w:rPr>
      </w:pPr>
      <w:r w:rsidRPr="00534D79">
        <w:rPr>
          <w:rFonts w:ascii="Times New Roman" w:hAnsi="Times New Roman"/>
          <w:b/>
        </w:rPr>
        <w:t>G</w:t>
      </w:r>
      <w:r>
        <w:rPr>
          <w:rFonts w:ascii="Times New Roman" w:hAnsi="Times New Roman"/>
          <w:b/>
        </w:rPr>
        <w:t xml:space="preserve">rafico 8 </w:t>
      </w:r>
      <w:r w:rsidRPr="00534D79">
        <w:rPr>
          <w:rFonts w:ascii="Times New Roman" w:hAnsi="Times New Roman"/>
          <w:b/>
        </w:rPr>
        <w:t xml:space="preserve">- Apprendisti iscritti alle attività di formazione pubblica nelle ripartizioni geografiche </w:t>
      </w:r>
    </w:p>
    <w:p w:rsidR="008530E1" w:rsidRPr="00346EE6" w:rsidRDefault="008530E1" w:rsidP="008530E1">
      <w:pPr>
        <w:autoSpaceDE w:val="0"/>
        <w:autoSpaceDN w:val="0"/>
        <w:adjustRightInd w:val="0"/>
        <w:spacing w:after="0" w:line="240" w:lineRule="auto"/>
        <w:jc w:val="both"/>
        <w:rPr>
          <w:rFonts w:ascii="Times New Roman" w:hAnsi="Times New Roman"/>
          <w:b/>
        </w:rPr>
      </w:pPr>
      <w:r w:rsidRPr="00534D79">
        <w:rPr>
          <w:rFonts w:ascii="Times New Roman" w:hAnsi="Times New Roman"/>
          <w:b/>
        </w:rPr>
        <w:t>– anni 2010-</w:t>
      </w:r>
      <w:r w:rsidRPr="00346EE6">
        <w:rPr>
          <w:rFonts w:ascii="Times New Roman" w:hAnsi="Times New Roman"/>
          <w:b/>
        </w:rPr>
        <w:t>2011 – val</w:t>
      </w:r>
      <w:r>
        <w:rPr>
          <w:rFonts w:ascii="Times New Roman" w:hAnsi="Times New Roman"/>
          <w:b/>
        </w:rPr>
        <w:t>ori</w:t>
      </w:r>
      <w:r w:rsidRPr="00346EE6">
        <w:rPr>
          <w:rFonts w:ascii="Times New Roman" w:hAnsi="Times New Roman"/>
          <w:b/>
        </w:rPr>
        <w:t xml:space="preserve"> </w:t>
      </w:r>
      <w:r>
        <w:rPr>
          <w:rFonts w:ascii="Times New Roman" w:hAnsi="Times New Roman"/>
          <w:b/>
        </w:rPr>
        <w:t>percentuali</w:t>
      </w:r>
    </w:p>
    <w:p w:rsidR="008530E1" w:rsidRPr="00FD63B3" w:rsidRDefault="008530E1" w:rsidP="008530E1">
      <w:pPr>
        <w:spacing w:before="120" w:after="120" w:line="240" w:lineRule="auto"/>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5790910" cy="3021952"/>
            <wp:effectExtent l="15433" t="5391" r="7717" b="337"/>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530E1" w:rsidRPr="00173B56" w:rsidRDefault="008530E1" w:rsidP="008530E1">
      <w:pPr>
        <w:spacing w:before="120" w:after="120" w:line="240" w:lineRule="auto"/>
        <w:jc w:val="both"/>
        <w:rPr>
          <w:rFonts w:ascii="Times New Roman" w:hAnsi="Times New Roman"/>
          <w:sz w:val="18"/>
          <w:szCs w:val="18"/>
        </w:rPr>
      </w:pPr>
      <w:r w:rsidRPr="00173B56">
        <w:rPr>
          <w:rFonts w:ascii="Times New Roman" w:hAnsi="Times New Roman"/>
          <w:sz w:val="18"/>
          <w:szCs w:val="18"/>
        </w:rPr>
        <w:t>Fonte: elaborazione Isfol su dati delle regioni e Province Autonome.</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lastRenderedPageBreak/>
        <w:t>Si conferma, quindi, la tradizionale bipartizione del territorio nazionale che vede</w:t>
      </w:r>
      <w:r>
        <w:rPr>
          <w:rFonts w:ascii="Times New Roman" w:hAnsi="Times New Roman"/>
          <w:sz w:val="24"/>
          <w:szCs w:val="24"/>
        </w:rPr>
        <w:t>,</w:t>
      </w:r>
      <w:r w:rsidRPr="0025335E">
        <w:rPr>
          <w:rFonts w:ascii="Times New Roman" w:hAnsi="Times New Roman"/>
          <w:sz w:val="24"/>
          <w:szCs w:val="24"/>
        </w:rPr>
        <w:t xml:space="preserve"> da una parte</w:t>
      </w:r>
      <w:r>
        <w:rPr>
          <w:rFonts w:ascii="Times New Roman" w:hAnsi="Times New Roman"/>
          <w:sz w:val="24"/>
          <w:szCs w:val="24"/>
        </w:rPr>
        <w:t>,</w:t>
      </w:r>
      <w:r w:rsidRPr="0025335E">
        <w:rPr>
          <w:rFonts w:ascii="Times New Roman" w:hAnsi="Times New Roman"/>
          <w:sz w:val="24"/>
          <w:szCs w:val="24"/>
        </w:rPr>
        <w:t xml:space="preserve"> il Nord Italia coinvolgere in attività formative quasi la metà degli apprendisti occupati e, dall’altra, i territori del Centro e del Mezzogiorno dove il rapporto fra apprendisti formati ed occupati è inferiore ad uno su sette.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In continuità con gli scorsi anni si osserva, tuttavia, un significativo scostamento tra i valori del tasso di copertura registrati all’interno delle due ripartizioni settentrionali (oltre venti punti percentuali). Il Nord-Est, che, ormai da anni, detiene il primato di area con la maggiore percentuale di apprendisti inseriti in percorsi formativi, ha coinvolto nel 2011 un’utenza pari al 58% degli occupati, mentre nell’area del Nord-Ovest sono stati avviati in formazione il 37,4% degli apprendisti.</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Le regioni con la più alta percentuale di apprendisti inseriti in formazione appartengono, infatti, alla ripartizione Nord-Orientale. </w:t>
      </w:r>
    </w:p>
    <w:p w:rsidR="008530E1" w:rsidRPr="00FD63B3"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L’Emilia Romagna, che nel 2011 raggiunge un tasso di copertura dell’utenza pari all’86,4%, è la regione con il più alto rapporto fra apprendisti occupati e formati. L’impegno profuso dall’amministrazione regionale per elevare il volume dell’offerta formativa - che rispetto al 2010 si è incrementato di quasi venti punti percentuali - è ancor più apprezzabile se si tiene conto che si tratta di una delle regioni con il più alto numero di occupati in apprendistato; la</w:t>
      </w:r>
      <w:r w:rsidRPr="00E64832">
        <w:rPr>
          <w:rFonts w:ascii="Times New Roman" w:hAnsi="Times New Roman"/>
          <w:sz w:val="24"/>
          <w:szCs w:val="24"/>
        </w:rPr>
        <w:t xml:space="preserve"> misura anticrisi che ha portato </w:t>
      </w:r>
      <w:smartTag w:uri="urn:schemas-microsoft-com:office:smarttags" w:element="PersonName">
        <w:smartTagPr>
          <w:attr w:name="ProductID" w:val="la Regione"/>
        </w:smartTagPr>
        <w:r w:rsidRPr="00E64832">
          <w:rPr>
            <w:rFonts w:ascii="Times New Roman" w:hAnsi="Times New Roman"/>
            <w:sz w:val="24"/>
            <w:szCs w:val="24"/>
          </w:rPr>
          <w:t>la Regione</w:t>
        </w:r>
      </w:smartTag>
      <w:r w:rsidRPr="00E64832">
        <w:rPr>
          <w:rFonts w:ascii="Times New Roman" w:hAnsi="Times New Roman"/>
          <w:sz w:val="24"/>
          <w:szCs w:val="24"/>
        </w:rPr>
        <w:t xml:space="preserve"> a raddoppiare, a partire dal 2009, il valore dell’assegno formativo destinato agli apprendisti che optano per l’offerta formativa regionale (facoltativa), coprendo l’intero costo della formazione, potrebbe avere influito sulla scelta delle aziende di ricorrere al sistema di formazione pubblico per l’adempimento degli</w:t>
      </w:r>
      <w:r w:rsidRPr="00FD63B3">
        <w:rPr>
          <w:rFonts w:ascii="Times New Roman" w:hAnsi="Times New Roman"/>
          <w:sz w:val="24"/>
          <w:szCs w:val="24"/>
        </w:rPr>
        <w:t xml:space="preserve"> obblighi formativi</w:t>
      </w:r>
      <w:r w:rsidRPr="00FD63B3">
        <w:rPr>
          <w:rStyle w:val="Rimandonotaapidipagina"/>
          <w:rFonts w:ascii="Times New Roman" w:hAnsi="Times New Roman"/>
          <w:sz w:val="24"/>
          <w:szCs w:val="24"/>
        </w:rPr>
        <w:footnoteReference w:id="2"/>
      </w:r>
      <w:r w:rsidRPr="00FD63B3">
        <w:rPr>
          <w:rFonts w:ascii="Times New Roman" w:hAnsi="Times New Roman"/>
          <w:sz w:val="24"/>
          <w:szCs w:val="24"/>
        </w:rPr>
        <w:t xml:space="preserve">.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Le Province Autonome di Trento e Bolzano - due realtà che vantano un sistema di apprendistato ormai consolidato - ed il Friuli Venezia Giulia - che prevede un significativo investimento anche di risorse regionali del POR - presentano anch’esse sistemi di offerta formativa ben strutturati e in grado di coinvolgere, nel 2011, una percentuale di apprendisti compresa tra il 73,7% e l’80,2%. Un importante incremento dell’offerta formativa si osserva in Veneto, dove il tasso di coinvolgimento dell’utenza passa dal 9,5% registrato nel 2010 al 29,5% nel 2011; si tratta, tuttavia, di un valore ancora molto lontano da quelli rilevati nelle restanti regioni del Nord-Est e, comunque, al di sotto del valore medio nazionale.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Le regioni ricomprese nel Nord-Ovest mostrano una capacità di coinvolgimento degli apprendisti in attività formative meno significativa rispetto a quanto osservato per l’area del Nord-Est.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Un’interessante eccezione è rappresentata dal Piemonte che, a fronte di un’elevata occupazione in apprendistato, presenta da diversi anni dei volumi significativi di offerta; in particolare, nel </w:t>
      </w:r>
      <w:smartTag w:uri="urn:schemas-microsoft-com:office:smarttags" w:element="metricconverter">
        <w:smartTagPr>
          <w:attr w:name="ProductID" w:val="2011 ha"/>
        </w:smartTagPr>
        <w:r w:rsidRPr="0025335E">
          <w:rPr>
            <w:rFonts w:ascii="Times New Roman" w:hAnsi="Times New Roman"/>
            <w:sz w:val="24"/>
            <w:szCs w:val="24"/>
          </w:rPr>
          <w:t>2011 ha</w:t>
        </w:r>
      </w:smartTag>
      <w:r w:rsidRPr="0025335E">
        <w:rPr>
          <w:rFonts w:ascii="Times New Roman" w:hAnsi="Times New Roman"/>
          <w:sz w:val="24"/>
          <w:szCs w:val="24"/>
        </w:rPr>
        <w:t xml:space="preserve"> partecipato ad attività formative il 64,3% degli apprendisti occupati, con un incremento rispetto al 2010 di circa quindici punti percentuali; </w:t>
      </w:r>
      <w:smartTag w:uri="urn:schemas-microsoft-com:office:smarttags" w:element="PersonName">
        <w:smartTagPr>
          <w:attr w:name="ProductID" w:val="la Regione"/>
        </w:smartTagPr>
        <w:r w:rsidRPr="0025335E">
          <w:rPr>
            <w:rFonts w:ascii="Times New Roman" w:hAnsi="Times New Roman"/>
            <w:sz w:val="24"/>
            <w:szCs w:val="24"/>
          </w:rPr>
          <w:t>la Regione</w:t>
        </w:r>
      </w:smartTag>
      <w:r w:rsidRPr="0025335E">
        <w:rPr>
          <w:rFonts w:ascii="Times New Roman" w:hAnsi="Times New Roman"/>
          <w:sz w:val="24"/>
          <w:szCs w:val="24"/>
        </w:rPr>
        <w:t xml:space="preserve"> ha fatto fronte a tali volumi di offerta investendo consistenti risorse del Fondo sociale europeo, oltre a finanziamenti propri. Anche </w:t>
      </w:r>
      <w:smartTag w:uri="urn:schemas-microsoft-com:office:smarttags" w:element="PersonName">
        <w:smartTagPr>
          <w:attr w:name="ProductID" w:val="la Valle"/>
        </w:smartTagPr>
        <w:r w:rsidRPr="0025335E">
          <w:rPr>
            <w:rFonts w:ascii="Times New Roman" w:hAnsi="Times New Roman"/>
            <w:sz w:val="24"/>
            <w:szCs w:val="24"/>
          </w:rPr>
          <w:t>la Valle</w:t>
        </w:r>
      </w:smartTag>
      <w:r w:rsidRPr="0025335E">
        <w:rPr>
          <w:rFonts w:ascii="Times New Roman" w:hAnsi="Times New Roman"/>
          <w:sz w:val="24"/>
          <w:szCs w:val="24"/>
        </w:rPr>
        <w:t xml:space="preserve"> d’Aosta vede raddoppiare il proprio tasso di copertura che, nel 2011, raggiunge il 45,3%. Le restanti amministrazioni regionali mostrano anch’esse un aumento del numero di apprendisti formati; tuttavia il rapporto con gli occupati resta al di sotto di quello medio nazionale in Lombardia (27,9%) ed in Liguria (15,9%),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Scendendo lungo </w:t>
      </w:r>
      <w:smartTag w:uri="urn:schemas-microsoft-com:office:smarttags" w:element="PersonName">
        <w:smartTagPr>
          <w:attr w:name="ProductID" w:val="la Penisola"/>
        </w:smartTagPr>
        <w:r w:rsidRPr="0025335E">
          <w:rPr>
            <w:rFonts w:ascii="Times New Roman" w:hAnsi="Times New Roman"/>
            <w:sz w:val="24"/>
            <w:szCs w:val="24"/>
          </w:rPr>
          <w:t>la Penisola</w:t>
        </w:r>
      </w:smartTag>
      <w:r w:rsidRPr="0025335E">
        <w:rPr>
          <w:rFonts w:ascii="Times New Roman" w:hAnsi="Times New Roman"/>
          <w:sz w:val="24"/>
          <w:szCs w:val="24"/>
        </w:rPr>
        <w:t xml:space="preserve"> si osservano tassi di coinvolgimento che non superano mai quello medio nazionale.</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Nel Mezzogiorno si è assistito ad un aumento progressivo dell’offerta formativa che, a partire dal </w:t>
      </w:r>
      <w:smartTag w:uri="urn:schemas-microsoft-com:office:smarttags" w:element="metricconverter">
        <w:smartTagPr>
          <w:attr w:name="ProductID" w:val="2008, ha"/>
        </w:smartTagPr>
        <w:r w:rsidRPr="0025335E">
          <w:rPr>
            <w:rFonts w:ascii="Times New Roman" w:hAnsi="Times New Roman"/>
            <w:sz w:val="24"/>
            <w:szCs w:val="24"/>
          </w:rPr>
          <w:t>2008, ha</w:t>
        </w:r>
      </w:smartTag>
      <w:r w:rsidRPr="0025335E">
        <w:rPr>
          <w:rFonts w:ascii="Times New Roman" w:hAnsi="Times New Roman"/>
          <w:sz w:val="24"/>
          <w:szCs w:val="24"/>
        </w:rPr>
        <w:t xml:space="preserve"> portato ad un notevole incremento del tasso di copertura; tuttavia, nel 2011, il rapporto fra </w:t>
      </w:r>
      <w:r w:rsidRPr="0025335E">
        <w:rPr>
          <w:rFonts w:ascii="Times New Roman" w:hAnsi="Times New Roman"/>
          <w:sz w:val="24"/>
          <w:szCs w:val="24"/>
        </w:rPr>
        <w:lastRenderedPageBreak/>
        <w:t>apprendisti formati ed occupati si riduce di circa 7 punti percentuali (dal 19,3% del 2010 al 12,</w:t>
      </w:r>
      <w:r>
        <w:rPr>
          <w:rFonts w:ascii="Times New Roman" w:hAnsi="Times New Roman"/>
          <w:sz w:val="24"/>
          <w:szCs w:val="24"/>
        </w:rPr>
        <w:t>2</w:t>
      </w:r>
      <w:r w:rsidRPr="0025335E">
        <w:rPr>
          <w:rFonts w:ascii="Times New Roman" w:hAnsi="Times New Roman"/>
          <w:sz w:val="24"/>
          <w:szCs w:val="24"/>
        </w:rPr>
        <w:t>% del 2011); nel Centro Italia la quota di apprendisti formati registra un leggero decremento e si attesta su un valore prossimo a quello osservato nel Mezzogiorno, pari al 12,8%.</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 xml:space="preserve">Il dettaglio regionale mostra per il Centro Italia tassi di copertura molto bassi (compresi tra il 4,5% dell’Umbria e l’11,1% della Toscana); l’unica eccezione è rappresentata dalla regione Marche che, anche a fronte di un discreto investimento di fondi del Programma Operativo Regionale (POR), ha inserito in percorsi formativi il 28,3% degli apprendisti. </w:t>
      </w:r>
    </w:p>
    <w:p w:rsidR="008530E1" w:rsidRPr="0025335E"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Decisamente più complesso il quadro regionale nel Sud Italia dove si rilevano ampie oscillazioni nei tassi di copertura rispetto alla media di area; alcuni territori presentano, infatti, tassi di coinvolgimento inferiori ai dieci punti percentuali (Campania 6,8%, Sicilia 6%, Sardegna 1,3%), altri evidenziano valori di molto superiori e compresi tra il 16,9% della Puglia ed il 31,2% dell’Abruzzo</w:t>
      </w:r>
      <w:r w:rsidRPr="0025335E">
        <w:rPr>
          <w:rStyle w:val="Rimandonotaapidipagina"/>
          <w:rFonts w:ascii="Times New Roman" w:hAnsi="Times New Roman"/>
          <w:sz w:val="24"/>
          <w:szCs w:val="24"/>
        </w:rPr>
        <w:footnoteReference w:id="3"/>
      </w:r>
      <w:r w:rsidRPr="0025335E">
        <w:rPr>
          <w:rFonts w:ascii="Times New Roman" w:hAnsi="Times New Roman"/>
          <w:sz w:val="24"/>
          <w:szCs w:val="24"/>
        </w:rPr>
        <w:t xml:space="preserve">. </w:t>
      </w:r>
    </w:p>
    <w:p w:rsidR="008530E1" w:rsidRDefault="008530E1" w:rsidP="008530E1">
      <w:pPr>
        <w:spacing w:before="120" w:after="120" w:line="240" w:lineRule="auto"/>
        <w:jc w:val="both"/>
        <w:rPr>
          <w:rFonts w:ascii="Times New Roman" w:hAnsi="Times New Roman"/>
          <w:sz w:val="24"/>
          <w:szCs w:val="24"/>
        </w:rPr>
      </w:pPr>
      <w:r w:rsidRPr="0025335E">
        <w:rPr>
          <w:rFonts w:ascii="Times New Roman" w:hAnsi="Times New Roman"/>
          <w:sz w:val="24"/>
          <w:szCs w:val="24"/>
        </w:rPr>
        <w:t>In Abruzzo si assiste, ormai da qualche anno, ad un consistente incremento del volume dell’offerta formativa, mentre in Puglia si arresta il trend positivo osservato nell’ultimo quadriennio ed il tasso di copertura si riduce di oltre dieci punti percentuali. Parimenti in Sicilia il rapporto fra apprendisti          formati ed occupati passa dal 16,1% del 2010 al 6% del 2011.</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 La partecipazione alle attivit</w:t>
      </w:r>
      <w:r>
        <w:rPr>
          <w:rFonts w:ascii="Times New Roman" w:hAnsi="Times New Roman"/>
          <w:sz w:val="24"/>
          <w:szCs w:val="24"/>
        </w:rPr>
        <w:t>à di formazione si riferisce</w:t>
      </w:r>
      <w:r w:rsidRPr="00FD63B3">
        <w:rPr>
          <w:rFonts w:ascii="Times New Roman" w:hAnsi="Times New Roman"/>
          <w:sz w:val="24"/>
          <w:szCs w:val="24"/>
        </w:rPr>
        <w:t xml:space="preserve"> al complesso degli utenti coinvolti, senza distinzione rispetto alla tipologia contrattuale di apprendistato. I dati inviati dalle amministrazioni regionali e provinciali confermano la presenza di un sistema pubblico di formazione per l’apprendistato rivolto soprattutto </w:t>
      </w:r>
      <w:r w:rsidRPr="003E30A5">
        <w:rPr>
          <w:rFonts w:ascii="Times New Roman" w:hAnsi="Times New Roman"/>
          <w:sz w:val="24"/>
          <w:szCs w:val="24"/>
        </w:rPr>
        <w:t xml:space="preserve">a un’utenza </w:t>
      </w:r>
      <w:r>
        <w:rPr>
          <w:rFonts w:ascii="Times New Roman" w:hAnsi="Times New Roman"/>
          <w:sz w:val="24"/>
          <w:szCs w:val="24"/>
        </w:rPr>
        <w:t xml:space="preserve">di </w:t>
      </w:r>
      <w:r w:rsidRPr="003E30A5">
        <w:rPr>
          <w:rFonts w:ascii="Times New Roman" w:hAnsi="Times New Roman"/>
          <w:sz w:val="24"/>
          <w:szCs w:val="24"/>
        </w:rPr>
        <w:t>maggiorenni (98,4%);</w:t>
      </w:r>
      <w:r w:rsidRPr="00FD63B3">
        <w:rPr>
          <w:rFonts w:ascii="Times New Roman" w:hAnsi="Times New Roman"/>
          <w:sz w:val="24"/>
          <w:szCs w:val="24"/>
        </w:rPr>
        <w:t xml:space="preserve"> fra questi è compresa una quota esigua di giovani inseriti in percorsi di apprendistato alto: si tratta di 254 individui frequentanti master univers</w:t>
      </w:r>
      <w:r>
        <w:rPr>
          <w:rFonts w:ascii="Times New Roman" w:hAnsi="Times New Roman"/>
          <w:sz w:val="24"/>
          <w:szCs w:val="24"/>
        </w:rPr>
        <w:t xml:space="preserve">itari di </w:t>
      </w:r>
      <w:proofErr w:type="spellStart"/>
      <w:r>
        <w:rPr>
          <w:rFonts w:ascii="Times New Roman" w:hAnsi="Times New Roman"/>
          <w:sz w:val="24"/>
          <w:szCs w:val="24"/>
        </w:rPr>
        <w:t>I°</w:t>
      </w:r>
      <w:proofErr w:type="spellEnd"/>
      <w:r>
        <w:rPr>
          <w:rFonts w:ascii="Times New Roman" w:hAnsi="Times New Roman"/>
          <w:sz w:val="24"/>
          <w:szCs w:val="24"/>
        </w:rPr>
        <w:t xml:space="preserve"> e </w:t>
      </w:r>
      <w:proofErr w:type="spellStart"/>
      <w:r>
        <w:rPr>
          <w:rFonts w:ascii="Times New Roman" w:hAnsi="Times New Roman"/>
          <w:sz w:val="24"/>
          <w:szCs w:val="24"/>
        </w:rPr>
        <w:t>II°</w:t>
      </w:r>
      <w:proofErr w:type="spellEnd"/>
      <w:r w:rsidRPr="00FD63B3">
        <w:rPr>
          <w:rFonts w:ascii="Times New Roman" w:hAnsi="Times New Roman"/>
          <w:sz w:val="24"/>
          <w:szCs w:val="24"/>
        </w:rPr>
        <w:t xml:space="preserve"> livello o corsi di laurea triennale.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I dati fin qui esposti fanno riferimento agli apprendisti iscritti agli interventi formativi, ovvero che hanno partecipato almeno per </w:t>
      </w:r>
      <w:r>
        <w:rPr>
          <w:rFonts w:ascii="Times New Roman" w:hAnsi="Times New Roman"/>
          <w:sz w:val="24"/>
          <w:szCs w:val="24"/>
        </w:rPr>
        <w:t xml:space="preserve">una </w:t>
      </w:r>
      <w:r w:rsidRPr="00FD63B3">
        <w:rPr>
          <w:rFonts w:ascii="Times New Roman" w:hAnsi="Times New Roman"/>
          <w:sz w:val="24"/>
          <w:szCs w:val="24"/>
        </w:rPr>
        <w:t xml:space="preserve">parte del percorso; di seguito si analizzano i numeri relativi a quanti hanno portato a termine le attività formative.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Nel 2011 si registra una contrazione nella percentuale di completamento del percorso formativo che scende al 65,1% contro il 68,7% dell’anno precedente. La variazione annua è contenuta in pochi punti percentuali, per quanto attiene il dato medio nazionale, mentre mostra una dinamica più articolata nell’analisi per ripartizioni geografiche (cfr. </w:t>
      </w:r>
      <w:r w:rsidRPr="00534D79">
        <w:rPr>
          <w:rFonts w:ascii="Times New Roman" w:hAnsi="Times New Roman"/>
          <w:sz w:val="24"/>
          <w:szCs w:val="24"/>
        </w:rPr>
        <w:t xml:space="preserve">tab. </w:t>
      </w:r>
      <w:r>
        <w:rPr>
          <w:rFonts w:ascii="Times New Roman" w:hAnsi="Times New Roman"/>
          <w:sz w:val="24"/>
          <w:szCs w:val="24"/>
        </w:rPr>
        <w:t>30</w:t>
      </w:r>
      <w:r w:rsidRPr="00FD63B3">
        <w:rPr>
          <w:rFonts w:ascii="Times New Roman" w:hAnsi="Times New Roman"/>
          <w:sz w:val="24"/>
          <w:szCs w:val="24"/>
        </w:rPr>
        <w:t>).</w:t>
      </w:r>
    </w:p>
    <w:p w:rsidR="008530E1" w:rsidRDefault="008530E1" w:rsidP="008530E1">
      <w:pPr>
        <w:spacing w:before="120" w:after="120" w:line="240" w:lineRule="auto"/>
        <w:jc w:val="both"/>
        <w:rPr>
          <w:rFonts w:ascii="Times New Roman" w:hAnsi="Times New Roman"/>
          <w:b/>
        </w:rPr>
      </w:pPr>
    </w:p>
    <w:p w:rsidR="008530E1" w:rsidRPr="00437BEC" w:rsidRDefault="008530E1" w:rsidP="008530E1">
      <w:pPr>
        <w:spacing w:before="120" w:after="120" w:line="240" w:lineRule="auto"/>
        <w:jc w:val="both"/>
        <w:rPr>
          <w:rFonts w:ascii="Times New Roman" w:hAnsi="Times New Roman"/>
          <w:b/>
        </w:rPr>
      </w:pPr>
      <w:r>
        <w:rPr>
          <w:rFonts w:ascii="Times New Roman" w:hAnsi="Times New Roman"/>
          <w:b/>
        </w:rPr>
        <w:t xml:space="preserve">Tabella 30 </w:t>
      </w:r>
      <w:r w:rsidRPr="00FD63B3">
        <w:rPr>
          <w:rFonts w:ascii="Times New Roman" w:hAnsi="Times New Roman"/>
          <w:b/>
        </w:rPr>
        <w:t xml:space="preserve">- </w:t>
      </w:r>
      <w:r w:rsidRPr="00437BEC">
        <w:rPr>
          <w:rFonts w:ascii="Times New Roman" w:hAnsi="Times New Roman"/>
          <w:b/>
        </w:rPr>
        <w:t>Apprendisti che hanno terminato il percorso formativo e quota percentuale rispetto agli iscritti negli anni 2010 e 2011 per Regione e ripartizione geografica - Valori assoluti e percentuali</w:t>
      </w:r>
    </w:p>
    <w:tbl>
      <w:tblPr>
        <w:tblW w:w="5000" w:type="pct"/>
        <w:tblCellMar>
          <w:left w:w="70" w:type="dxa"/>
          <w:right w:w="70" w:type="dxa"/>
        </w:tblCellMar>
        <w:tblLook w:val="04A0"/>
      </w:tblPr>
      <w:tblGrid>
        <w:gridCol w:w="2604"/>
        <w:gridCol w:w="1746"/>
        <w:gridCol w:w="1748"/>
        <w:gridCol w:w="1746"/>
        <w:gridCol w:w="1934"/>
      </w:tblGrid>
      <w:tr w:rsidR="008530E1" w:rsidRPr="00FD63B3" w:rsidTr="00CA64D3">
        <w:trPr>
          <w:trHeight w:val="330"/>
        </w:trPr>
        <w:tc>
          <w:tcPr>
            <w:tcW w:w="1331" w:type="pct"/>
            <w:vMerge w:val="restart"/>
            <w:tcBorders>
              <w:top w:val="single" w:sz="4" w:space="0" w:color="auto"/>
              <w:left w:val="nil"/>
              <w:bottom w:val="nil"/>
              <w:right w:val="nil"/>
            </w:tcBorders>
            <w:shd w:val="clear" w:color="auto" w:fill="auto"/>
            <w:vAlign w:val="center"/>
          </w:tcPr>
          <w:p w:rsidR="008530E1" w:rsidRPr="00FD63B3" w:rsidRDefault="008530E1" w:rsidP="00CA64D3">
            <w:pPr>
              <w:spacing w:after="0" w:line="240" w:lineRule="auto"/>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Regioni</w:t>
            </w:r>
          </w:p>
        </w:tc>
        <w:tc>
          <w:tcPr>
            <w:tcW w:w="1787" w:type="pct"/>
            <w:gridSpan w:val="2"/>
            <w:tcBorders>
              <w:top w:val="single" w:sz="4" w:space="0" w:color="auto"/>
              <w:left w:val="nil"/>
              <w:bottom w:val="single" w:sz="8" w:space="0" w:color="auto"/>
              <w:right w:val="nil"/>
            </w:tcBorders>
            <w:vAlign w:val="bottom"/>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2010</w:t>
            </w:r>
          </w:p>
        </w:tc>
        <w:tc>
          <w:tcPr>
            <w:tcW w:w="1883" w:type="pct"/>
            <w:gridSpan w:val="2"/>
            <w:tcBorders>
              <w:top w:val="single" w:sz="4" w:space="0" w:color="auto"/>
              <w:left w:val="nil"/>
              <w:bottom w:val="single" w:sz="8" w:space="0" w:color="auto"/>
              <w:right w:val="nil"/>
            </w:tcBorders>
            <w:shd w:val="clear" w:color="auto" w:fill="auto"/>
            <w:noWrap/>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2011</w:t>
            </w:r>
          </w:p>
        </w:tc>
      </w:tr>
      <w:tr w:rsidR="008530E1" w:rsidRPr="00FD63B3" w:rsidTr="00CA64D3">
        <w:trPr>
          <w:trHeight w:val="908"/>
        </w:trPr>
        <w:tc>
          <w:tcPr>
            <w:tcW w:w="1331" w:type="pct"/>
            <w:vMerge/>
            <w:tcBorders>
              <w:top w:val="single" w:sz="4" w:space="0" w:color="auto"/>
              <w:left w:val="nil"/>
              <w:bottom w:val="nil"/>
              <w:right w:val="nil"/>
            </w:tcBorders>
            <w:vAlign w:val="center"/>
          </w:tcPr>
          <w:p w:rsidR="008530E1" w:rsidRPr="00FD63B3" w:rsidRDefault="008530E1" w:rsidP="00CA64D3">
            <w:pPr>
              <w:spacing w:after="0" w:line="240" w:lineRule="auto"/>
              <w:jc w:val="right"/>
              <w:rPr>
                <w:rFonts w:ascii="Times New Roman" w:eastAsia="Times New Roman" w:hAnsi="Times New Roman"/>
                <w:b/>
                <w:color w:val="000000"/>
                <w:sz w:val="20"/>
                <w:szCs w:val="20"/>
                <w:lang w:eastAsia="it-IT"/>
              </w:rPr>
            </w:pPr>
          </w:p>
        </w:tc>
        <w:tc>
          <w:tcPr>
            <w:tcW w:w="893" w:type="pct"/>
            <w:tcBorders>
              <w:top w:val="nil"/>
              <w:left w:val="nil"/>
              <w:bottom w:val="nil"/>
              <w:right w:val="nil"/>
            </w:tcBorders>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apprendisti che hanno terminato</w:t>
            </w:r>
          </w:p>
        </w:tc>
        <w:tc>
          <w:tcPr>
            <w:tcW w:w="894" w:type="pct"/>
            <w:tcBorders>
              <w:top w:val="nil"/>
              <w:left w:val="nil"/>
              <w:bottom w:val="nil"/>
              <w:right w:val="nil"/>
            </w:tcBorders>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 apprendisti che hanno terminato</w:t>
            </w:r>
          </w:p>
        </w:tc>
        <w:tc>
          <w:tcPr>
            <w:tcW w:w="893"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apprendisti che hanno terminato</w:t>
            </w:r>
          </w:p>
        </w:tc>
        <w:tc>
          <w:tcPr>
            <w:tcW w:w="990" w:type="pct"/>
            <w:tcBorders>
              <w:top w:val="nil"/>
              <w:left w:val="nil"/>
              <w:bottom w:val="nil"/>
              <w:right w:val="nil"/>
            </w:tcBorders>
            <w:shd w:val="clear" w:color="auto" w:fill="auto"/>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 apprendisti che hanno terminato</w:t>
            </w:r>
          </w:p>
        </w:tc>
      </w:tr>
      <w:tr w:rsidR="008530E1" w:rsidRPr="00FD63B3" w:rsidTr="00CA64D3">
        <w:trPr>
          <w:trHeight w:val="360"/>
        </w:trPr>
        <w:tc>
          <w:tcPr>
            <w:tcW w:w="1331"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Piemonte</w:t>
            </w:r>
          </w:p>
        </w:tc>
        <w:tc>
          <w:tcPr>
            <w:tcW w:w="893" w:type="pct"/>
            <w:tcBorders>
              <w:top w:val="single" w:sz="4" w:space="0" w:color="auto"/>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18.342</w:t>
            </w:r>
          </w:p>
        </w:tc>
        <w:tc>
          <w:tcPr>
            <w:tcW w:w="894" w:type="pct"/>
            <w:tcBorders>
              <w:top w:val="single" w:sz="4" w:space="0" w:color="auto"/>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79,3</w:t>
            </w:r>
          </w:p>
        </w:tc>
        <w:tc>
          <w:tcPr>
            <w:tcW w:w="893"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19.301</w:t>
            </w:r>
          </w:p>
        </w:tc>
        <w:tc>
          <w:tcPr>
            <w:tcW w:w="990" w:type="pct"/>
            <w:tcBorders>
              <w:top w:val="single" w:sz="4" w:space="0" w:color="auto"/>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69,6</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Valle d'Aosta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114</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28,4</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proofErr w:type="spellStart"/>
            <w:r>
              <w:rPr>
                <w:rFonts w:ascii="Times New Roman" w:hAnsi="Times New Roman"/>
                <w:sz w:val="20"/>
                <w:szCs w:val="20"/>
              </w:rPr>
              <w:t>n.d.</w:t>
            </w:r>
            <w:proofErr w:type="spellEnd"/>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0,0</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Lombardia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13.579</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83,2</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18.462</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79,1</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Prov. Bolzano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3.542</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98,9</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3.229</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98,4</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Prov. Trento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4.322</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84,3</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4.141</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87,1</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Veneto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5.992</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94,2</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6.064</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32,3</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Friuli Venezia Giulia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3.990</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48,1</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2.967</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40,0</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Liguria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1.633</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70,8</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1.438</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50,8</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lastRenderedPageBreak/>
              <w:t>Emilia Romagna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26.533</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76,0</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32.140</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73,8</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Toscana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3.963</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51,0</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3.248</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64,1</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 xml:space="preserve">Umbria </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598</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54,9</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237</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38,8</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Marche</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4.711</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65,5</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4.305</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68,1</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Lazio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78</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1,6</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276</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5,8</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Abruzzo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2.463</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92,5</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2.454</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85,0</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Molise</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228</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76,3</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Campania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(a)1.800</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142,9</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 xml:space="preserve">Puglia </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2.400</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32,0</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2.705</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67,6</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 xml:space="preserve">Basilicata </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399</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75,6</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485</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86,6</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 xml:space="preserve">Calabria </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 xml:space="preserve">Sicilia </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1.345</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33,7</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452</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32,0</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Sardegna</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r w:rsidRPr="00FD63B3">
              <w:rPr>
                <w:rFonts w:ascii="Times New Roman" w:eastAsia="Times New Roman" w:hAnsi="Times New Roman"/>
                <w:color w:val="000000"/>
                <w:sz w:val="20"/>
                <w:szCs w:val="20"/>
                <w:lang w:eastAsia="it-IT"/>
              </w:rPr>
              <w:t>29</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63,0</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77</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83,7</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eastAsia="Times New Roman" w:hAnsi="Times New Roman"/>
                <w:color w:val="000000"/>
                <w:sz w:val="20"/>
                <w:szCs w:val="20"/>
                <w:lang w:eastAsia="it-IT"/>
              </w:rPr>
            </w:pP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eastAsia="Times New Roman" w:hAnsi="Times New Roman"/>
                <w:color w:val="000000"/>
                <w:sz w:val="20"/>
                <w:szCs w:val="20"/>
                <w:lang w:eastAsia="it-IT"/>
              </w:rPr>
            </w:pP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p>
        </w:tc>
      </w:tr>
      <w:tr w:rsidR="008530E1" w:rsidRPr="00FD63B3" w:rsidTr="00CA64D3">
        <w:trPr>
          <w:trHeight w:val="540"/>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t>Nord</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78.047</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77,7</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87.742</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66,3</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i/>
                <w:color w:val="000000"/>
                <w:sz w:val="20"/>
                <w:szCs w:val="20"/>
              </w:rPr>
            </w:pPr>
            <w:r w:rsidRPr="00FD63B3">
              <w:rPr>
                <w:rFonts w:ascii="Times New Roman" w:hAnsi="Times New Roman"/>
                <w:i/>
                <w:color w:val="000000"/>
                <w:sz w:val="20"/>
                <w:szCs w:val="20"/>
              </w:rPr>
              <w:t>Nord-Ovest</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33.668</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i/>
                <w:sz w:val="20"/>
                <w:szCs w:val="20"/>
              </w:rPr>
            </w:pPr>
            <w:r w:rsidRPr="00FD63B3">
              <w:rPr>
                <w:rFonts w:ascii="Times New Roman" w:hAnsi="Times New Roman"/>
                <w:i/>
                <w:sz w:val="20"/>
                <w:szCs w:val="20"/>
              </w:rPr>
              <w:t>79,8</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39.201</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sz w:val="20"/>
                <w:szCs w:val="20"/>
              </w:rPr>
            </w:pPr>
            <w:r w:rsidRPr="00FD63B3">
              <w:rPr>
                <w:rFonts w:ascii="Times New Roman" w:hAnsi="Times New Roman"/>
                <w:i/>
                <w:sz w:val="20"/>
                <w:szCs w:val="20"/>
              </w:rPr>
              <w:t>71,7</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i/>
                <w:color w:val="000000"/>
                <w:sz w:val="20"/>
                <w:szCs w:val="20"/>
              </w:rPr>
            </w:pPr>
            <w:r w:rsidRPr="00FD63B3">
              <w:rPr>
                <w:rFonts w:ascii="Times New Roman" w:hAnsi="Times New Roman"/>
                <w:i/>
                <w:color w:val="000000"/>
                <w:sz w:val="20"/>
                <w:szCs w:val="20"/>
              </w:rPr>
              <w:t>Nord-Est</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44.379</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i/>
                <w:sz w:val="20"/>
                <w:szCs w:val="20"/>
              </w:rPr>
            </w:pPr>
            <w:r w:rsidRPr="00FD63B3">
              <w:rPr>
                <w:rFonts w:ascii="Times New Roman" w:hAnsi="Times New Roman"/>
                <w:i/>
                <w:sz w:val="20"/>
                <w:szCs w:val="20"/>
              </w:rPr>
              <w:t>76,2</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color w:val="000000"/>
                <w:sz w:val="20"/>
                <w:szCs w:val="20"/>
              </w:rPr>
            </w:pPr>
            <w:r w:rsidRPr="00FD63B3">
              <w:rPr>
                <w:rFonts w:ascii="Times New Roman" w:hAnsi="Times New Roman"/>
                <w:i/>
                <w:color w:val="000000"/>
                <w:sz w:val="20"/>
                <w:szCs w:val="20"/>
              </w:rPr>
              <w:t>48.541</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i/>
                <w:sz w:val="20"/>
                <w:szCs w:val="20"/>
              </w:rPr>
            </w:pPr>
            <w:r w:rsidRPr="00FD63B3">
              <w:rPr>
                <w:rFonts w:ascii="Times New Roman" w:hAnsi="Times New Roman"/>
                <w:i/>
                <w:sz w:val="20"/>
                <w:szCs w:val="20"/>
              </w:rPr>
              <w:t>62,5</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t>Centro</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9.350</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45,0</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8.066</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48,2</w:t>
            </w:r>
          </w:p>
        </w:tc>
      </w:tr>
      <w:tr w:rsidR="008530E1" w:rsidRPr="00FD63B3" w:rsidTr="00CA64D3">
        <w:trPr>
          <w:trHeight w:val="315"/>
        </w:trPr>
        <w:tc>
          <w:tcPr>
            <w:tcW w:w="1331" w:type="pct"/>
            <w:tcBorders>
              <w:top w:val="nil"/>
              <w:left w:val="nil"/>
              <w:bottom w:val="nil"/>
              <w:right w:val="nil"/>
            </w:tcBorders>
            <w:shd w:val="clear" w:color="auto" w:fill="auto"/>
            <w:noWrap/>
            <w:vAlign w:val="bottom"/>
          </w:tcPr>
          <w:p w:rsidR="008530E1" w:rsidRPr="00FD63B3" w:rsidRDefault="008530E1" w:rsidP="00CA64D3">
            <w:pPr>
              <w:spacing w:after="0" w:line="240" w:lineRule="auto"/>
              <w:rPr>
                <w:rFonts w:ascii="Times New Roman" w:hAnsi="Times New Roman"/>
                <w:color w:val="000000"/>
                <w:sz w:val="20"/>
                <w:szCs w:val="20"/>
              </w:rPr>
            </w:pPr>
            <w:r w:rsidRPr="00FD63B3">
              <w:rPr>
                <w:rFonts w:ascii="Times New Roman" w:hAnsi="Times New Roman"/>
                <w:color w:val="000000"/>
                <w:sz w:val="20"/>
                <w:szCs w:val="20"/>
              </w:rPr>
              <w:t>Sud e Isole</w:t>
            </w:r>
          </w:p>
        </w:tc>
        <w:tc>
          <w:tcPr>
            <w:tcW w:w="893"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6.636</w:t>
            </w:r>
          </w:p>
        </w:tc>
        <w:tc>
          <w:tcPr>
            <w:tcW w:w="894" w:type="pct"/>
            <w:tcBorders>
              <w:top w:val="nil"/>
              <w:left w:val="nil"/>
              <w:bottom w:val="nil"/>
              <w:right w:val="nil"/>
            </w:tcBorders>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42,5</w:t>
            </w:r>
          </w:p>
        </w:tc>
        <w:tc>
          <w:tcPr>
            <w:tcW w:w="893"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color w:val="000000"/>
                <w:sz w:val="20"/>
                <w:szCs w:val="20"/>
              </w:rPr>
            </w:pPr>
            <w:r w:rsidRPr="00FD63B3">
              <w:rPr>
                <w:rFonts w:ascii="Times New Roman" w:hAnsi="Times New Roman"/>
                <w:color w:val="000000"/>
                <w:sz w:val="20"/>
                <w:szCs w:val="20"/>
              </w:rPr>
              <w:t>8.201</w:t>
            </w:r>
          </w:p>
        </w:tc>
        <w:tc>
          <w:tcPr>
            <w:tcW w:w="990" w:type="pct"/>
            <w:tcBorders>
              <w:top w:val="nil"/>
              <w:left w:val="nil"/>
              <w:bottom w:val="nil"/>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sz w:val="20"/>
                <w:szCs w:val="20"/>
              </w:rPr>
            </w:pPr>
            <w:r w:rsidRPr="00FD63B3">
              <w:rPr>
                <w:rFonts w:ascii="Times New Roman" w:hAnsi="Times New Roman"/>
                <w:sz w:val="20"/>
                <w:szCs w:val="20"/>
              </w:rPr>
              <w:t>78,0</w:t>
            </w:r>
          </w:p>
        </w:tc>
      </w:tr>
      <w:tr w:rsidR="008530E1" w:rsidRPr="00FD63B3" w:rsidTr="00CA64D3">
        <w:trPr>
          <w:trHeight w:val="315"/>
        </w:trPr>
        <w:tc>
          <w:tcPr>
            <w:tcW w:w="1331"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rPr>
                <w:rFonts w:ascii="Times New Roman" w:hAnsi="Times New Roman"/>
                <w:b/>
                <w:bCs/>
                <w:color w:val="000000"/>
                <w:sz w:val="20"/>
                <w:szCs w:val="20"/>
              </w:rPr>
            </w:pPr>
            <w:r w:rsidRPr="00FD63B3">
              <w:rPr>
                <w:rFonts w:ascii="Times New Roman" w:hAnsi="Times New Roman"/>
                <w:b/>
                <w:bCs/>
                <w:color w:val="000000"/>
                <w:sz w:val="20"/>
                <w:szCs w:val="20"/>
              </w:rPr>
              <w:t>Italia</w:t>
            </w:r>
          </w:p>
        </w:tc>
        <w:tc>
          <w:tcPr>
            <w:tcW w:w="893" w:type="pct"/>
            <w:tcBorders>
              <w:top w:val="nil"/>
              <w:left w:val="nil"/>
              <w:bottom w:val="single" w:sz="8" w:space="0" w:color="auto"/>
              <w:right w:val="nil"/>
            </w:tcBorders>
            <w:vAlign w:val="bottom"/>
          </w:tcPr>
          <w:p w:rsidR="008530E1" w:rsidRPr="00FD63B3" w:rsidRDefault="008530E1" w:rsidP="00CA64D3">
            <w:pPr>
              <w:spacing w:after="0" w:line="240" w:lineRule="auto"/>
              <w:jc w:val="center"/>
              <w:rPr>
                <w:rFonts w:ascii="Times New Roman" w:hAnsi="Times New Roman"/>
                <w:b/>
                <w:bCs/>
                <w:color w:val="000000"/>
                <w:sz w:val="20"/>
                <w:szCs w:val="20"/>
              </w:rPr>
            </w:pPr>
            <w:r w:rsidRPr="00FD63B3">
              <w:rPr>
                <w:rFonts w:ascii="Times New Roman" w:hAnsi="Times New Roman"/>
                <w:b/>
                <w:bCs/>
                <w:color w:val="000000"/>
                <w:sz w:val="20"/>
                <w:szCs w:val="20"/>
              </w:rPr>
              <w:t>94.033</w:t>
            </w:r>
          </w:p>
        </w:tc>
        <w:tc>
          <w:tcPr>
            <w:tcW w:w="894" w:type="pct"/>
            <w:tcBorders>
              <w:top w:val="nil"/>
              <w:left w:val="nil"/>
              <w:bottom w:val="single" w:sz="8" w:space="0" w:color="auto"/>
              <w:right w:val="nil"/>
            </w:tcBorders>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68,7</w:t>
            </w:r>
          </w:p>
        </w:tc>
        <w:tc>
          <w:tcPr>
            <w:tcW w:w="893"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104.009</w:t>
            </w:r>
          </w:p>
        </w:tc>
        <w:tc>
          <w:tcPr>
            <w:tcW w:w="990" w:type="pct"/>
            <w:tcBorders>
              <w:top w:val="nil"/>
              <w:left w:val="nil"/>
              <w:bottom w:val="single" w:sz="8" w:space="0" w:color="auto"/>
              <w:right w:val="nil"/>
            </w:tcBorders>
            <w:shd w:val="clear" w:color="auto" w:fill="auto"/>
            <w:noWrap/>
            <w:vAlign w:val="bottom"/>
          </w:tcPr>
          <w:p w:rsidR="008530E1" w:rsidRPr="00FD63B3" w:rsidRDefault="008530E1" w:rsidP="00CA64D3">
            <w:pPr>
              <w:spacing w:after="0" w:line="240" w:lineRule="auto"/>
              <w:jc w:val="center"/>
              <w:rPr>
                <w:rFonts w:ascii="Times New Roman" w:hAnsi="Times New Roman"/>
                <w:b/>
                <w:bCs/>
                <w:sz w:val="20"/>
                <w:szCs w:val="20"/>
              </w:rPr>
            </w:pPr>
            <w:r w:rsidRPr="00FD63B3">
              <w:rPr>
                <w:rFonts w:ascii="Times New Roman" w:hAnsi="Times New Roman"/>
                <w:b/>
                <w:bCs/>
                <w:sz w:val="20"/>
                <w:szCs w:val="20"/>
              </w:rPr>
              <w:t>65,1</w:t>
            </w:r>
          </w:p>
        </w:tc>
      </w:tr>
    </w:tbl>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sz w:val="18"/>
          <w:szCs w:val="18"/>
        </w:rPr>
        <w:t>(a) Il dato comprende gli apprendisti che si sono iscritti alle attività formative negli anni precedenti al 2011 ma che hanno portato a termine il percorso formativo in questa annualità.</w:t>
      </w:r>
    </w:p>
    <w:p w:rsidR="008530E1" w:rsidRPr="00FD63B3" w:rsidRDefault="008530E1" w:rsidP="008530E1">
      <w:pPr>
        <w:spacing w:line="240" w:lineRule="auto"/>
        <w:rPr>
          <w:rFonts w:ascii="Times New Roman" w:hAnsi="Times New Roman"/>
          <w:i/>
          <w:sz w:val="18"/>
          <w:szCs w:val="18"/>
        </w:rPr>
      </w:pPr>
      <w:r w:rsidRPr="00FD63B3">
        <w:rPr>
          <w:rFonts w:ascii="Times New Roman" w:hAnsi="Times New Roman"/>
          <w:i/>
          <w:sz w:val="18"/>
          <w:szCs w:val="18"/>
        </w:rPr>
        <w:t xml:space="preserve">Fonte: </w:t>
      </w:r>
      <w:r>
        <w:rPr>
          <w:rFonts w:ascii="Times New Roman" w:hAnsi="Times New Roman"/>
          <w:sz w:val="18"/>
          <w:szCs w:val="18"/>
        </w:rPr>
        <w:t>elaborazione Isfol su dati delle Regioni e Province Autonome.</w:t>
      </w:r>
      <w:r w:rsidRPr="00FD63B3">
        <w:rPr>
          <w:rFonts w:ascii="Times New Roman" w:hAnsi="Times New Roman"/>
          <w:sz w:val="18"/>
          <w:szCs w:val="18"/>
        </w:rPr>
        <w:t xml:space="preserve"> </w:t>
      </w:r>
    </w:p>
    <w:p w:rsidR="008530E1" w:rsidRDefault="008530E1" w:rsidP="008530E1">
      <w:pPr>
        <w:spacing w:before="120" w:after="120" w:line="240" w:lineRule="auto"/>
        <w:jc w:val="both"/>
        <w:rPr>
          <w:rFonts w:ascii="Times New Roman" w:hAnsi="Times New Roman"/>
          <w:sz w:val="24"/>
          <w:szCs w:val="24"/>
        </w:rPr>
      </w:pP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La variazione del tasso di completamento delle attività formative sembra essere direttamente collegata al variare del volume di utenza coinvolta nelle a</w:t>
      </w:r>
      <w:r>
        <w:rPr>
          <w:rFonts w:ascii="Times New Roman" w:hAnsi="Times New Roman"/>
          <w:sz w:val="24"/>
          <w:szCs w:val="24"/>
        </w:rPr>
        <w:t xml:space="preserve">ttività stesse. </w:t>
      </w:r>
      <w:r w:rsidRPr="00D64153">
        <w:rPr>
          <w:rFonts w:ascii="Times New Roman" w:hAnsi="Times New Roman"/>
          <w:sz w:val="24"/>
          <w:szCs w:val="24"/>
        </w:rPr>
        <w:t>Nel Nord Italia il numero di giovani che porta a compimento il percorso formativo si incrementa del 12,4% rispetto al 2010. Tuttavia, se il dato è raffrontato al totale degli apprendisti che hanno intrapreso nello stesso anno un percorso formativo, il risultato è un decremento del 11,4%; ciò significa che ad un maggior coinvolgimento di giovani nelle attività di formazione non corrisponde un aumento proporzionale del tasso di completamento. Di segno opposto il discorso per il Centro ed il Mezzogiorno, dove si assiste ad una diminuzione di entrambi i valori; tuttavia, in questo caso</w:t>
      </w:r>
      <w:r w:rsidRPr="00FD63B3">
        <w:rPr>
          <w:rFonts w:ascii="Times New Roman" w:hAnsi="Times New Roman"/>
          <w:sz w:val="24"/>
          <w:szCs w:val="24"/>
        </w:rPr>
        <w:t xml:space="preserve"> la diminuzione nel tasso di copertura incide positivamente su quello relativo al tasso di completamento che, nel 2011, aumenta in entrambe le aree (48,2% Centro, 78% Mezzogiorno). Il numero di formati nel Mezzogiorno è comunque inferiore a quanto riportato in tabella, infatti, il dato comunicato dalla Campania ricomprende anche gli apprendisti che si sono iscritti ai percorsi formativi nel 2010</w:t>
      </w:r>
      <w:r>
        <w:rPr>
          <w:rFonts w:ascii="Times New Roman" w:hAnsi="Times New Roman"/>
          <w:sz w:val="24"/>
          <w:szCs w:val="24"/>
        </w:rPr>
        <w:t>,</w:t>
      </w:r>
      <w:r w:rsidRPr="00FD63B3">
        <w:rPr>
          <w:rFonts w:ascii="Times New Roman" w:hAnsi="Times New Roman"/>
          <w:sz w:val="24"/>
          <w:szCs w:val="24"/>
        </w:rPr>
        <w:t xml:space="preserve"> ma che hanno concluso le attività nel 2011.</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Nella metà delle regioni oltre i due terzi degli apprendisti porta a termine il percorso formativo e in cinque territori tale percentuale supera l’80% (Pr</w:t>
      </w:r>
      <w:r>
        <w:rPr>
          <w:rFonts w:ascii="Times New Roman" w:hAnsi="Times New Roman"/>
          <w:sz w:val="24"/>
          <w:szCs w:val="24"/>
        </w:rPr>
        <w:t xml:space="preserve">ovincia Autonoma di Bolzano, </w:t>
      </w:r>
      <w:r w:rsidRPr="00FD63B3">
        <w:rPr>
          <w:rFonts w:ascii="Times New Roman" w:hAnsi="Times New Roman"/>
          <w:sz w:val="24"/>
          <w:szCs w:val="24"/>
        </w:rPr>
        <w:t>Provincia Autonoma di Trento, Abruzzo e Basilicata)</w:t>
      </w:r>
      <w:r w:rsidRPr="00FD63B3">
        <w:rPr>
          <w:rStyle w:val="Rimandonotaapidipagina"/>
          <w:rFonts w:ascii="Times New Roman" w:hAnsi="Times New Roman"/>
          <w:sz w:val="24"/>
          <w:szCs w:val="24"/>
        </w:rPr>
        <w:footnoteReference w:id="4"/>
      </w:r>
      <w:r w:rsidRPr="00FD63B3">
        <w:rPr>
          <w:rFonts w:ascii="Times New Roman" w:hAnsi="Times New Roman"/>
          <w:sz w:val="24"/>
          <w:szCs w:val="24"/>
        </w:rPr>
        <w:t>; viceversa, sono cinque le amministrazioni regionali dove meno della metà degli allievi conclude le attività: Veneto, Friuli Venezia Giulia, Umbria, Lazio e Sicilia. In particolare, va osservato come in Veneto il numero di allievi sia più che raddoppiato rispetto allo scorso anno, ma il numero di quanti hanno portato a termine le attività è ri</w:t>
      </w:r>
      <w:r>
        <w:rPr>
          <w:rFonts w:ascii="Times New Roman" w:hAnsi="Times New Roman"/>
          <w:sz w:val="24"/>
          <w:szCs w:val="24"/>
        </w:rPr>
        <w:t>masto sostanzialmente invariato;</w:t>
      </w:r>
      <w:r w:rsidRPr="00FD63B3">
        <w:rPr>
          <w:rFonts w:ascii="Times New Roman" w:hAnsi="Times New Roman"/>
          <w:sz w:val="24"/>
          <w:szCs w:val="24"/>
        </w:rPr>
        <w:t xml:space="preserve"> conseguentemente il tasso di completamento è passato dal 94,2% al 32,3%.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lastRenderedPageBreak/>
        <w:t xml:space="preserve">I dati fin qui esposti forniscono un’indicazione parziale sull’impegno profuso dalle Regioni e Province autonome nell’erogazione della formazione per l’apprendistato. Infatti, molti sistemi regionali hanno differenziato l’offerta formativa, che può prevedere corsi “classici” della durata di 120 ore accanto ad altri interventi di durata inferiore riservati a giovani assunti in imprese con capacità formativa più o meno ampia. Inoltre, è ormai largamente diffuso fra le Regioni un modello di gestione dell’offerta per l’apprendistato “a catalogo”, basato sulla disponibilità di una pluralità di moduli di diversa durata che vengono composti in percorsi in base alle necessità delle imprese e degli apprendisti. In entrambi i casi diventa difficile identificare il momento di completamento di un percorso annuo di formazione e comunque i risultati ottenuti risultano scarsamente comparabili fra le Regioni.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Allo scopo di consentire una lettura più dettagliata del volume dell’offerta formativa pubblica disponibile sui territori, è stato chiesto alle amministrazioni regionali/provinciali di comunicare il dato relativo alle ore di formazione per allievo complessivamente erogate dal sistema pubblico </w:t>
      </w:r>
      <w:r w:rsidRPr="00534D79">
        <w:rPr>
          <w:rFonts w:ascii="Times New Roman" w:hAnsi="Times New Roman"/>
          <w:sz w:val="24"/>
          <w:szCs w:val="24"/>
        </w:rPr>
        <w:t>(cfr. tab.</w:t>
      </w:r>
      <w:r>
        <w:rPr>
          <w:rFonts w:ascii="Times New Roman" w:hAnsi="Times New Roman"/>
          <w:sz w:val="24"/>
          <w:szCs w:val="24"/>
        </w:rPr>
        <w:t xml:space="preserve"> 31</w:t>
      </w:r>
      <w:r w:rsidRPr="00534D79">
        <w:rPr>
          <w:rFonts w:ascii="Times New Roman" w:hAnsi="Times New Roman"/>
          <w:sz w:val="24"/>
          <w:szCs w:val="24"/>
        </w:rPr>
        <w:t>). Non tutte le banche-dati regionali sono in grado di fornire indicazioni al riguard</w:t>
      </w:r>
      <w:r w:rsidRPr="00FD63B3">
        <w:rPr>
          <w:rFonts w:ascii="Times New Roman" w:hAnsi="Times New Roman"/>
          <w:sz w:val="24"/>
          <w:szCs w:val="24"/>
        </w:rPr>
        <w:t xml:space="preserve">o; le informazioni disponibili fanno di frequente riferimento, infatti, al volume totale delle ore erogate per corso, piuttosto che per allievo. </w:t>
      </w:r>
    </w:p>
    <w:p w:rsidR="008530E1" w:rsidRPr="00FD63B3" w:rsidRDefault="008530E1" w:rsidP="008530E1">
      <w:pPr>
        <w:spacing w:before="120" w:after="120" w:line="240" w:lineRule="auto"/>
        <w:jc w:val="both"/>
        <w:rPr>
          <w:rFonts w:ascii="Times New Roman" w:hAnsi="Times New Roman"/>
          <w:sz w:val="24"/>
          <w:szCs w:val="24"/>
        </w:rPr>
      </w:pPr>
    </w:p>
    <w:p w:rsidR="008530E1" w:rsidRPr="00437BEC" w:rsidRDefault="008530E1" w:rsidP="008530E1">
      <w:pPr>
        <w:spacing w:after="0" w:line="240" w:lineRule="auto"/>
        <w:jc w:val="both"/>
        <w:rPr>
          <w:rFonts w:ascii="Times New Roman" w:hAnsi="Times New Roman"/>
          <w:b/>
        </w:rPr>
      </w:pPr>
      <w:r>
        <w:rPr>
          <w:rFonts w:ascii="Times New Roman" w:hAnsi="Times New Roman"/>
          <w:b/>
        </w:rPr>
        <w:t>Tabella 31</w:t>
      </w:r>
      <w:r w:rsidRPr="00FD63B3">
        <w:rPr>
          <w:rFonts w:ascii="Times New Roman" w:hAnsi="Times New Roman"/>
          <w:b/>
        </w:rPr>
        <w:t xml:space="preserve"> - </w:t>
      </w:r>
      <w:r w:rsidRPr="00437BEC">
        <w:rPr>
          <w:rFonts w:ascii="Times New Roman" w:hAnsi="Times New Roman"/>
          <w:b/>
        </w:rPr>
        <w:t xml:space="preserve">Offerta formativa pubblica: ore di formazione complessivamente erogate dalle Regioni e Province Autonome e numero di ore erogate per apprendista nel </w:t>
      </w:r>
      <w:r>
        <w:rPr>
          <w:rFonts w:ascii="Times New Roman" w:hAnsi="Times New Roman"/>
          <w:b/>
        </w:rPr>
        <w:t>2011</w:t>
      </w:r>
      <w:r w:rsidRPr="00437BEC">
        <w:rPr>
          <w:rFonts w:ascii="Times New Roman" w:hAnsi="Times New Roman"/>
          <w:b/>
        </w:rPr>
        <w:t xml:space="preserve"> – valori assoluti</w:t>
      </w:r>
    </w:p>
    <w:tbl>
      <w:tblPr>
        <w:tblW w:w="5000" w:type="pct"/>
        <w:tblCellMar>
          <w:left w:w="70" w:type="dxa"/>
          <w:right w:w="70" w:type="dxa"/>
        </w:tblCellMar>
        <w:tblLook w:val="04A0"/>
      </w:tblPr>
      <w:tblGrid>
        <w:gridCol w:w="3384"/>
        <w:gridCol w:w="2193"/>
        <w:gridCol w:w="2429"/>
        <w:gridCol w:w="1772"/>
      </w:tblGrid>
      <w:tr w:rsidR="008530E1" w:rsidRPr="00FD63B3" w:rsidTr="00CA64D3">
        <w:trPr>
          <w:trHeight w:val="567"/>
        </w:trPr>
        <w:tc>
          <w:tcPr>
            <w:tcW w:w="1730" w:type="pct"/>
            <w:tcBorders>
              <w:top w:val="single" w:sz="4" w:space="0" w:color="auto"/>
              <w:left w:val="nil"/>
              <w:bottom w:val="single" w:sz="4" w:space="0" w:color="auto"/>
              <w:right w:val="nil"/>
            </w:tcBorders>
            <w:shd w:val="clear" w:color="auto" w:fill="auto"/>
            <w:vAlign w:val="center"/>
          </w:tcPr>
          <w:p w:rsidR="008530E1" w:rsidRPr="00FD63B3" w:rsidRDefault="008530E1" w:rsidP="00CA64D3">
            <w:pPr>
              <w:spacing w:after="0" w:line="240" w:lineRule="auto"/>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Regioni</w:t>
            </w:r>
          </w:p>
        </w:tc>
        <w:tc>
          <w:tcPr>
            <w:tcW w:w="1121" w:type="pct"/>
            <w:tcBorders>
              <w:top w:val="single" w:sz="4" w:space="0" w:color="auto"/>
              <w:left w:val="nil"/>
              <w:bottom w:val="single" w:sz="4" w:space="0" w:color="auto"/>
              <w:right w:val="nil"/>
            </w:tcBorders>
            <w:shd w:val="clear" w:color="auto" w:fill="auto"/>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iscritti</w:t>
            </w:r>
          </w:p>
        </w:tc>
        <w:tc>
          <w:tcPr>
            <w:tcW w:w="1242" w:type="pct"/>
            <w:tcBorders>
              <w:top w:val="single" w:sz="4" w:space="0" w:color="auto"/>
              <w:left w:val="nil"/>
              <w:bottom w:val="single" w:sz="4" w:space="0" w:color="auto"/>
              <w:right w:val="nil"/>
            </w:tcBorders>
            <w:shd w:val="clear" w:color="auto" w:fill="auto"/>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totale ore</w:t>
            </w:r>
          </w:p>
        </w:tc>
        <w:tc>
          <w:tcPr>
            <w:tcW w:w="906" w:type="pct"/>
            <w:tcBorders>
              <w:top w:val="single" w:sz="4" w:space="0" w:color="auto"/>
              <w:left w:val="nil"/>
              <w:bottom w:val="single" w:sz="4" w:space="0" w:color="auto"/>
              <w:right w:val="nil"/>
            </w:tcBorders>
            <w:shd w:val="clear" w:color="auto" w:fill="auto"/>
            <w:vAlign w:val="center"/>
          </w:tcPr>
          <w:p w:rsidR="008530E1" w:rsidRPr="00FD63B3" w:rsidRDefault="008530E1" w:rsidP="00CA64D3">
            <w:pPr>
              <w:spacing w:after="0" w:line="240" w:lineRule="auto"/>
              <w:jc w:val="center"/>
              <w:rPr>
                <w:rFonts w:ascii="Times New Roman" w:eastAsia="Times New Roman" w:hAnsi="Times New Roman"/>
                <w:b/>
                <w:color w:val="000000"/>
                <w:sz w:val="20"/>
                <w:szCs w:val="20"/>
                <w:lang w:eastAsia="it-IT"/>
              </w:rPr>
            </w:pPr>
            <w:r w:rsidRPr="00FD63B3">
              <w:rPr>
                <w:rFonts w:ascii="Times New Roman" w:eastAsia="Times New Roman" w:hAnsi="Times New Roman"/>
                <w:b/>
                <w:color w:val="000000"/>
                <w:sz w:val="20"/>
                <w:szCs w:val="20"/>
                <w:lang w:eastAsia="it-IT"/>
              </w:rPr>
              <w:t>ore/ iscritti</w:t>
            </w:r>
          </w:p>
        </w:tc>
      </w:tr>
      <w:tr w:rsidR="008530E1" w:rsidRPr="00253C25" w:rsidTr="00CA64D3">
        <w:trPr>
          <w:trHeight w:val="315"/>
        </w:trPr>
        <w:tc>
          <w:tcPr>
            <w:tcW w:w="1730" w:type="pct"/>
            <w:tcBorders>
              <w:top w:val="single" w:sz="4" w:space="0" w:color="auto"/>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Piemonte</w:t>
            </w:r>
          </w:p>
        </w:tc>
        <w:tc>
          <w:tcPr>
            <w:tcW w:w="1121" w:type="pct"/>
            <w:tcBorders>
              <w:top w:val="single" w:sz="4" w:space="0" w:color="auto"/>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27.605</w:t>
            </w:r>
          </w:p>
        </w:tc>
        <w:tc>
          <w:tcPr>
            <w:tcW w:w="1242" w:type="pct"/>
            <w:tcBorders>
              <w:top w:val="single" w:sz="4" w:space="0" w:color="auto"/>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2.505.337</w:t>
            </w:r>
          </w:p>
        </w:tc>
        <w:tc>
          <w:tcPr>
            <w:tcW w:w="906" w:type="pct"/>
            <w:tcBorders>
              <w:top w:val="single" w:sz="4" w:space="0" w:color="auto"/>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91</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Valle d'Aosta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799</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4.370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5</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Lombardia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23.281</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1.421.037</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61</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Prov. Bolzano</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3.267</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(a)1.241.460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380</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Prov. Trento</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4.756</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16.216</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Veneto</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18.708</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79.590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Friuli Venezia Giulia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7.416</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528.710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71</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Liguria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2.833</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78.168</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28</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Emilia Romagna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43.512</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3.676.507</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84</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Toscana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5.065</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379.402</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75</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 xml:space="preserve">Umbria </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611</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19.512</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32</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Marche</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6.324</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188.572</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30</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Lazio</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4.738</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172.531</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36</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Abruzzo</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2.886</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294.480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102</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Molise</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299</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20.915</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70</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Campania</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1.260</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151.200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120</w:t>
            </w:r>
          </w:p>
        </w:tc>
      </w:tr>
      <w:tr w:rsidR="008530E1" w:rsidRPr="00253C25" w:rsidTr="00CA64D3">
        <w:trPr>
          <w:trHeight w:val="315"/>
        </w:trPr>
        <w:tc>
          <w:tcPr>
            <w:tcW w:w="1730" w:type="pct"/>
            <w:tcBorders>
              <w:top w:val="nil"/>
              <w:left w:val="nil"/>
              <w:bottom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 xml:space="preserve">Puglia </w:t>
            </w:r>
          </w:p>
        </w:tc>
        <w:tc>
          <w:tcPr>
            <w:tcW w:w="1121"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4.004</w:t>
            </w:r>
          </w:p>
        </w:tc>
        <w:tc>
          <w:tcPr>
            <w:tcW w:w="1242" w:type="pct"/>
            <w:tcBorders>
              <w:top w:val="nil"/>
              <w:left w:val="nil"/>
              <w:bottom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324.600</w:t>
            </w:r>
          </w:p>
        </w:tc>
        <w:tc>
          <w:tcPr>
            <w:tcW w:w="906" w:type="pct"/>
            <w:tcBorders>
              <w:top w:val="nil"/>
              <w:left w:val="nil"/>
              <w:bottom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81</w:t>
            </w:r>
          </w:p>
        </w:tc>
      </w:tr>
      <w:tr w:rsidR="008530E1" w:rsidRPr="00253C25" w:rsidTr="00CA64D3">
        <w:trPr>
          <w:trHeight w:val="315"/>
        </w:trPr>
        <w:tc>
          <w:tcPr>
            <w:tcW w:w="1730" w:type="pct"/>
            <w:tcBorders>
              <w:top w:val="nil"/>
              <w:left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 xml:space="preserve">Basilicata </w:t>
            </w:r>
          </w:p>
        </w:tc>
        <w:tc>
          <w:tcPr>
            <w:tcW w:w="1121" w:type="pct"/>
            <w:tcBorders>
              <w:top w:val="nil"/>
              <w:left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560</w:t>
            </w:r>
          </w:p>
        </w:tc>
        <w:tc>
          <w:tcPr>
            <w:tcW w:w="1242" w:type="pct"/>
            <w:tcBorders>
              <w:top w:val="nil"/>
              <w:left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(b)11.971</w:t>
            </w:r>
          </w:p>
        </w:tc>
        <w:tc>
          <w:tcPr>
            <w:tcW w:w="906" w:type="pct"/>
            <w:tcBorders>
              <w:top w:val="nil"/>
              <w:left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21</w:t>
            </w:r>
          </w:p>
        </w:tc>
      </w:tr>
      <w:tr w:rsidR="008530E1" w:rsidRPr="00253C25" w:rsidTr="00CA64D3">
        <w:trPr>
          <w:trHeight w:val="315"/>
        </w:trPr>
        <w:tc>
          <w:tcPr>
            <w:tcW w:w="1730" w:type="pct"/>
            <w:tcBorders>
              <w:top w:val="nil"/>
              <w:left w:val="nil"/>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 xml:space="preserve">Sicilia </w:t>
            </w:r>
          </w:p>
        </w:tc>
        <w:tc>
          <w:tcPr>
            <w:tcW w:w="1121" w:type="pct"/>
            <w:tcBorders>
              <w:top w:val="nil"/>
              <w:left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1.412</w:t>
            </w:r>
          </w:p>
        </w:tc>
        <w:tc>
          <w:tcPr>
            <w:tcW w:w="1242" w:type="pct"/>
            <w:tcBorders>
              <w:top w:val="nil"/>
              <w:left w:val="nil"/>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109.920</w:t>
            </w:r>
          </w:p>
        </w:tc>
        <w:tc>
          <w:tcPr>
            <w:tcW w:w="906" w:type="pct"/>
            <w:tcBorders>
              <w:top w:val="nil"/>
              <w:left w:val="nil"/>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78</w:t>
            </w:r>
          </w:p>
        </w:tc>
      </w:tr>
      <w:tr w:rsidR="008530E1" w:rsidRPr="00FD63B3" w:rsidTr="00CA64D3">
        <w:trPr>
          <w:trHeight w:val="315"/>
        </w:trPr>
        <w:tc>
          <w:tcPr>
            <w:tcW w:w="1730" w:type="pct"/>
            <w:tcBorders>
              <w:top w:val="nil"/>
              <w:left w:val="nil"/>
              <w:bottom w:val="single" w:sz="4" w:space="0" w:color="auto"/>
              <w:right w:val="nil"/>
            </w:tcBorders>
            <w:shd w:val="clear" w:color="auto" w:fill="auto"/>
            <w:noWrap/>
            <w:vAlign w:val="bottom"/>
          </w:tcPr>
          <w:p w:rsidR="008530E1" w:rsidRPr="00253C25" w:rsidRDefault="008530E1" w:rsidP="00CA64D3">
            <w:pPr>
              <w:spacing w:after="0" w:line="240" w:lineRule="auto"/>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Sardegna</w:t>
            </w:r>
          </w:p>
        </w:tc>
        <w:tc>
          <w:tcPr>
            <w:tcW w:w="1121" w:type="pct"/>
            <w:tcBorders>
              <w:top w:val="nil"/>
              <w:left w:val="nil"/>
              <w:bottom w:val="single" w:sz="4" w:space="0" w:color="auto"/>
              <w:right w:val="nil"/>
            </w:tcBorders>
            <w:shd w:val="clear" w:color="auto" w:fill="auto"/>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92</w:t>
            </w:r>
          </w:p>
        </w:tc>
        <w:tc>
          <w:tcPr>
            <w:tcW w:w="1242" w:type="pct"/>
            <w:tcBorders>
              <w:top w:val="nil"/>
              <w:left w:val="nil"/>
              <w:bottom w:val="single" w:sz="4" w:space="0" w:color="auto"/>
              <w:right w:val="nil"/>
            </w:tcBorders>
            <w:shd w:val="clear" w:color="auto" w:fill="auto"/>
            <w:noWrap/>
            <w:vAlign w:val="bottom"/>
          </w:tcPr>
          <w:p w:rsidR="008530E1" w:rsidRPr="00253C25"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9.240</w:t>
            </w:r>
          </w:p>
        </w:tc>
        <w:tc>
          <w:tcPr>
            <w:tcW w:w="906" w:type="pct"/>
            <w:tcBorders>
              <w:top w:val="nil"/>
              <w:left w:val="nil"/>
              <w:bottom w:val="single" w:sz="4" w:space="0" w:color="auto"/>
              <w:right w:val="nil"/>
            </w:tcBorders>
            <w:shd w:val="clear" w:color="auto" w:fill="auto"/>
            <w:vAlign w:val="bottom"/>
          </w:tcPr>
          <w:p w:rsidR="008530E1" w:rsidRPr="00FD63B3" w:rsidRDefault="008530E1" w:rsidP="00CA64D3">
            <w:pPr>
              <w:spacing w:after="0" w:line="240" w:lineRule="auto"/>
              <w:jc w:val="center"/>
              <w:rPr>
                <w:rFonts w:ascii="Times New Roman" w:eastAsia="Times New Roman" w:hAnsi="Times New Roman"/>
                <w:sz w:val="20"/>
                <w:szCs w:val="20"/>
                <w:lang w:eastAsia="it-IT"/>
              </w:rPr>
            </w:pPr>
            <w:r w:rsidRPr="00253C25">
              <w:rPr>
                <w:rFonts w:ascii="Times New Roman" w:eastAsia="Times New Roman" w:hAnsi="Times New Roman"/>
                <w:sz w:val="20"/>
                <w:szCs w:val="20"/>
                <w:lang w:eastAsia="it-IT"/>
              </w:rPr>
              <w:t>100</w:t>
            </w:r>
          </w:p>
        </w:tc>
      </w:tr>
    </w:tbl>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sz w:val="18"/>
          <w:szCs w:val="18"/>
        </w:rPr>
        <w:t xml:space="preserve"> (</w:t>
      </w:r>
      <w:r w:rsidRPr="00FD63B3">
        <w:rPr>
          <w:rFonts w:ascii="Times New Roman" w:eastAsia="Times New Roman" w:hAnsi="Times New Roman"/>
          <w:color w:val="000000"/>
          <w:sz w:val="18"/>
          <w:szCs w:val="18"/>
          <w:lang w:eastAsia="it-IT"/>
        </w:rPr>
        <w:t>a</w:t>
      </w:r>
      <w:r w:rsidRPr="00FD63B3">
        <w:rPr>
          <w:rFonts w:ascii="Times New Roman" w:hAnsi="Times New Roman"/>
          <w:sz w:val="18"/>
          <w:szCs w:val="18"/>
        </w:rPr>
        <w:t>) Ogni apprendista frequenta la scuola professionale</w:t>
      </w:r>
      <w:r>
        <w:rPr>
          <w:rFonts w:ascii="Times New Roman" w:hAnsi="Times New Roman"/>
          <w:sz w:val="18"/>
          <w:szCs w:val="18"/>
        </w:rPr>
        <w:t>,</w:t>
      </w:r>
      <w:r w:rsidRPr="00FD63B3">
        <w:rPr>
          <w:rFonts w:ascii="Times New Roman" w:hAnsi="Times New Roman"/>
          <w:sz w:val="18"/>
          <w:szCs w:val="18"/>
        </w:rPr>
        <w:t xml:space="preserve"> finanzia</w:t>
      </w:r>
      <w:r>
        <w:rPr>
          <w:rFonts w:ascii="Times New Roman" w:hAnsi="Times New Roman"/>
          <w:sz w:val="18"/>
          <w:szCs w:val="18"/>
        </w:rPr>
        <w:t>ta per intero dalla Provincia di Bolzano,</w:t>
      </w:r>
      <w:r w:rsidRPr="00FD63B3">
        <w:rPr>
          <w:rFonts w:ascii="Times New Roman" w:hAnsi="Times New Roman"/>
          <w:sz w:val="18"/>
          <w:szCs w:val="18"/>
        </w:rPr>
        <w:t xml:space="preserve"> per un totale di circa 380 ore per anno scolastico</w:t>
      </w:r>
      <w:r>
        <w:rPr>
          <w:rFonts w:ascii="Times New Roman" w:hAnsi="Times New Roman"/>
          <w:sz w:val="18"/>
          <w:szCs w:val="18"/>
        </w:rPr>
        <w:t xml:space="preserve">. Il totale delle ore è quindi dato dal numero di iscritti per le ore frequentate da ciascun apprendista. </w:t>
      </w:r>
    </w:p>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sz w:val="18"/>
          <w:szCs w:val="18"/>
        </w:rPr>
        <w:t>(b) 10.129 erogate</w:t>
      </w:r>
      <w:r>
        <w:rPr>
          <w:rFonts w:ascii="Times New Roman" w:hAnsi="Times New Roman"/>
          <w:sz w:val="18"/>
          <w:szCs w:val="18"/>
        </w:rPr>
        <w:t xml:space="preserve"> dalla P</w:t>
      </w:r>
      <w:r w:rsidRPr="00FD63B3">
        <w:rPr>
          <w:rFonts w:ascii="Times New Roman" w:hAnsi="Times New Roman"/>
          <w:sz w:val="18"/>
          <w:szCs w:val="18"/>
        </w:rPr>
        <w:t>rovincia di Matera, le restanti 1.842 ore, relative alla provincia di Potenza, si riferiscono alle ore complessive di formazione erogate dal sistema pubblico e non al volume delle ore erogate per ciascun allievo.</w:t>
      </w:r>
    </w:p>
    <w:p w:rsidR="008530E1" w:rsidRPr="00FD63B3" w:rsidRDefault="008530E1" w:rsidP="008530E1">
      <w:pPr>
        <w:spacing w:after="0" w:line="240" w:lineRule="auto"/>
        <w:jc w:val="both"/>
        <w:rPr>
          <w:rFonts w:ascii="Times New Roman" w:hAnsi="Times New Roman"/>
          <w:sz w:val="18"/>
          <w:szCs w:val="18"/>
        </w:rPr>
      </w:pPr>
      <w:r w:rsidRPr="00FD63B3">
        <w:rPr>
          <w:rFonts w:ascii="Times New Roman" w:hAnsi="Times New Roman"/>
          <w:i/>
          <w:sz w:val="18"/>
          <w:szCs w:val="18"/>
        </w:rPr>
        <w:t xml:space="preserve">Fonte: </w:t>
      </w:r>
      <w:r>
        <w:rPr>
          <w:rFonts w:ascii="Times New Roman" w:hAnsi="Times New Roman"/>
          <w:sz w:val="18"/>
          <w:szCs w:val="18"/>
        </w:rPr>
        <w:t>elaborazione Isfol su dati delle Regioni e Province Autonome.</w:t>
      </w:r>
      <w:r w:rsidRPr="00FD63B3">
        <w:rPr>
          <w:rFonts w:ascii="Times New Roman" w:hAnsi="Times New Roman"/>
          <w:sz w:val="18"/>
          <w:szCs w:val="18"/>
        </w:rPr>
        <w:t xml:space="preserve"> </w:t>
      </w:r>
    </w:p>
    <w:p w:rsidR="008530E1" w:rsidRPr="00FD63B3" w:rsidRDefault="008530E1" w:rsidP="008530E1">
      <w:pPr>
        <w:spacing w:before="120" w:after="120" w:line="240" w:lineRule="auto"/>
        <w:jc w:val="both"/>
        <w:rPr>
          <w:rFonts w:ascii="Times New Roman" w:hAnsi="Times New Roman"/>
          <w:sz w:val="24"/>
          <w:szCs w:val="24"/>
        </w:rPr>
      </w:pPr>
      <w:r w:rsidRPr="005A19CD">
        <w:rPr>
          <w:rFonts w:ascii="Times New Roman" w:hAnsi="Times New Roman"/>
          <w:sz w:val="24"/>
          <w:szCs w:val="24"/>
        </w:rPr>
        <w:lastRenderedPageBreak/>
        <w:t xml:space="preserve">I valori comunicati dalle amministrazioni regionali e provinciali, con riferimento all’annualità 2011, presentano, infatti, un </w:t>
      </w:r>
      <w:proofErr w:type="spellStart"/>
      <w:r w:rsidRPr="005A19CD">
        <w:rPr>
          <w:rFonts w:ascii="Times New Roman" w:hAnsi="Times New Roman"/>
          <w:i/>
          <w:sz w:val="24"/>
          <w:szCs w:val="24"/>
        </w:rPr>
        <w:t>range</w:t>
      </w:r>
      <w:proofErr w:type="spellEnd"/>
      <w:r w:rsidRPr="005A19CD">
        <w:rPr>
          <w:rFonts w:ascii="Times New Roman" w:hAnsi="Times New Roman"/>
          <w:sz w:val="24"/>
          <w:szCs w:val="24"/>
        </w:rPr>
        <w:t xml:space="preserve"> di variabilità molto ampio. </w:t>
      </w:r>
      <w:smartTag w:uri="urn:schemas-microsoft-com:office:smarttags" w:element="PersonName">
        <w:smartTagPr>
          <w:attr w:name="ProductID" w:val="La Campania"/>
        </w:smartTagPr>
        <w:r w:rsidRPr="005A19CD">
          <w:rPr>
            <w:rFonts w:ascii="Times New Roman" w:hAnsi="Times New Roman"/>
            <w:sz w:val="24"/>
            <w:szCs w:val="24"/>
          </w:rPr>
          <w:t>La</w:t>
        </w:r>
        <w:r w:rsidRPr="00FD63B3">
          <w:rPr>
            <w:rFonts w:ascii="Times New Roman" w:hAnsi="Times New Roman"/>
            <w:sz w:val="24"/>
            <w:szCs w:val="24"/>
          </w:rPr>
          <w:t xml:space="preserve"> Campania</w:t>
        </w:r>
      </w:smartTag>
      <w:r w:rsidRPr="00FD63B3">
        <w:rPr>
          <w:rFonts w:ascii="Times New Roman" w:hAnsi="Times New Roman"/>
          <w:sz w:val="24"/>
          <w:szCs w:val="24"/>
        </w:rPr>
        <w:t xml:space="preserve"> sembra, invece, aver segnalato il dato “teorico” di ore erogate per apprendista, pari al monte ore obbligatorio.</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Sebbene nella maggior parte dei casi, gli apprendisti entrati nel sis</w:t>
      </w:r>
      <w:r>
        <w:rPr>
          <w:rFonts w:ascii="Times New Roman" w:hAnsi="Times New Roman"/>
          <w:sz w:val="24"/>
          <w:szCs w:val="24"/>
        </w:rPr>
        <w:t>tema pubblico dell’offerta abbiano</w:t>
      </w:r>
      <w:r w:rsidRPr="00FD63B3">
        <w:rPr>
          <w:rFonts w:ascii="Times New Roman" w:hAnsi="Times New Roman"/>
          <w:sz w:val="24"/>
          <w:szCs w:val="24"/>
        </w:rPr>
        <w:t xml:space="preserve"> frequentato meno dei due terzi della formazione annua stabilita dal contratto di apprendistato</w:t>
      </w:r>
      <w:r w:rsidRPr="00FD63B3">
        <w:rPr>
          <w:rStyle w:val="Rimandonotaapidipagina"/>
          <w:rFonts w:ascii="Times New Roman" w:hAnsi="Times New Roman"/>
          <w:sz w:val="24"/>
          <w:szCs w:val="24"/>
        </w:rPr>
        <w:footnoteReference w:id="5"/>
      </w:r>
      <w:r w:rsidRPr="00FD63B3">
        <w:rPr>
          <w:rFonts w:ascii="Times New Roman" w:hAnsi="Times New Roman"/>
          <w:sz w:val="24"/>
          <w:szCs w:val="24"/>
        </w:rPr>
        <w:t>, non mancano delle eccezioni al riguardo</w:t>
      </w:r>
      <w:r>
        <w:rPr>
          <w:rFonts w:ascii="Times New Roman" w:hAnsi="Times New Roman"/>
          <w:sz w:val="24"/>
          <w:szCs w:val="24"/>
        </w:rPr>
        <w:t>,</w:t>
      </w:r>
      <w:r w:rsidRPr="00FD63B3">
        <w:rPr>
          <w:rFonts w:ascii="Times New Roman" w:hAnsi="Times New Roman"/>
          <w:sz w:val="24"/>
          <w:szCs w:val="24"/>
        </w:rPr>
        <w:t xml:space="preserve"> come nel caso di Piemonte (91), Emilia Romagna (84), Abruzzo (102), Puglia (81) e Sardegna (100).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Non </w:t>
      </w:r>
      <w:r>
        <w:rPr>
          <w:rFonts w:ascii="Times New Roman" w:hAnsi="Times New Roman"/>
          <w:sz w:val="24"/>
          <w:szCs w:val="24"/>
        </w:rPr>
        <w:t xml:space="preserve">è </w:t>
      </w:r>
      <w:r w:rsidRPr="00FD63B3">
        <w:rPr>
          <w:rFonts w:ascii="Times New Roman" w:hAnsi="Times New Roman"/>
          <w:sz w:val="24"/>
          <w:szCs w:val="24"/>
        </w:rPr>
        <w:t>assimi</w:t>
      </w:r>
      <w:r>
        <w:rPr>
          <w:rFonts w:ascii="Times New Roman" w:hAnsi="Times New Roman"/>
          <w:sz w:val="24"/>
          <w:szCs w:val="24"/>
        </w:rPr>
        <w:t xml:space="preserve">labile agli altri territori </w:t>
      </w:r>
      <w:smartTag w:uri="urn:schemas-microsoft-com:office:smarttags" w:element="PersonName">
        <w:smartTagPr>
          <w:attr w:name="ProductID" w:val="la Provincia"/>
        </w:smartTagPr>
        <w:r>
          <w:rPr>
            <w:rFonts w:ascii="Times New Roman" w:hAnsi="Times New Roman"/>
            <w:sz w:val="24"/>
            <w:szCs w:val="24"/>
          </w:rPr>
          <w:t>la P</w:t>
        </w:r>
        <w:r w:rsidRPr="00FD63B3">
          <w:rPr>
            <w:rFonts w:ascii="Times New Roman" w:hAnsi="Times New Roman"/>
            <w:sz w:val="24"/>
            <w:szCs w:val="24"/>
          </w:rPr>
          <w:t>rovincia</w:t>
        </w:r>
      </w:smartTag>
      <w:r w:rsidRPr="00FD63B3">
        <w:rPr>
          <w:rFonts w:ascii="Times New Roman" w:hAnsi="Times New Roman"/>
          <w:sz w:val="24"/>
          <w:szCs w:val="24"/>
        </w:rPr>
        <w:t xml:space="preserve"> di Bolzano, che tradizionalmente prescrive un impegno di formazione esterna decisamente più elevato (pari a 1</w:t>
      </w:r>
      <w:r>
        <w:rPr>
          <w:rFonts w:ascii="Times New Roman" w:hAnsi="Times New Roman"/>
          <w:sz w:val="24"/>
          <w:szCs w:val="24"/>
        </w:rPr>
        <w:t>.</w:t>
      </w:r>
      <w:r w:rsidRPr="00FD63B3">
        <w:rPr>
          <w:rFonts w:ascii="Times New Roman" w:hAnsi="Times New Roman"/>
          <w:sz w:val="24"/>
          <w:szCs w:val="24"/>
        </w:rPr>
        <w:t>000 ore o a 600 ore sul triennio</w:t>
      </w:r>
      <w:r>
        <w:rPr>
          <w:rFonts w:ascii="Times New Roman" w:hAnsi="Times New Roman"/>
          <w:sz w:val="24"/>
          <w:szCs w:val="24"/>
        </w:rPr>
        <w:t>,</w:t>
      </w:r>
      <w:r w:rsidRPr="00FD63B3">
        <w:rPr>
          <w:rFonts w:ascii="Times New Roman" w:hAnsi="Times New Roman"/>
          <w:sz w:val="24"/>
          <w:szCs w:val="24"/>
        </w:rPr>
        <w:t xml:space="preserve"> a sec</w:t>
      </w:r>
      <w:r>
        <w:rPr>
          <w:rFonts w:ascii="Times New Roman" w:hAnsi="Times New Roman"/>
          <w:sz w:val="24"/>
          <w:szCs w:val="24"/>
        </w:rPr>
        <w:t>onda del tipo di apprendistato);</w:t>
      </w:r>
      <w:r w:rsidRPr="00FD63B3">
        <w:rPr>
          <w:rFonts w:ascii="Times New Roman" w:hAnsi="Times New Roman"/>
          <w:sz w:val="24"/>
          <w:szCs w:val="24"/>
        </w:rPr>
        <w:t xml:space="preserve"> ogni apprendista ha frequentato la scuola professionale</w:t>
      </w:r>
      <w:r>
        <w:rPr>
          <w:rFonts w:ascii="Times New Roman" w:hAnsi="Times New Roman"/>
          <w:sz w:val="24"/>
          <w:szCs w:val="24"/>
        </w:rPr>
        <w:t>,</w:t>
      </w:r>
      <w:r w:rsidRPr="00FD63B3">
        <w:rPr>
          <w:rFonts w:ascii="Times New Roman" w:hAnsi="Times New Roman"/>
          <w:sz w:val="24"/>
          <w:szCs w:val="24"/>
        </w:rPr>
        <w:t xml:space="preserve"> finanziata per intero dalla Provincia di Bolzano</w:t>
      </w:r>
      <w:r>
        <w:rPr>
          <w:rFonts w:ascii="Times New Roman" w:hAnsi="Times New Roman"/>
          <w:sz w:val="24"/>
          <w:szCs w:val="24"/>
        </w:rPr>
        <w:t>,</w:t>
      </w:r>
      <w:r w:rsidRPr="00FD63B3">
        <w:rPr>
          <w:rFonts w:ascii="Times New Roman" w:hAnsi="Times New Roman"/>
          <w:sz w:val="24"/>
          <w:szCs w:val="24"/>
        </w:rPr>
        <w:t xml:space="preserve"> per un totale di circa 380 ore per anno scolastico. </w:t>
      </w:r>
    </w:p>
    <w:p w:rsidR="008530E1" w:rsidRPr="00FD63B3" w:rsidRDefault="008530E1" w:rsidP="008530E1">
      <w:pPr>
        <w:spacing w:before="120" w:after="120" w:line="240" w:lineRule="auto"/>
        <w:jc w:val="both"/>
        <w:rPr>
          <w:rFonts w:ascii="Times New Roman" w:hAnsi="Times New Roman"/>
          <w:sz w:val="24"/>
          <w:szCs w:val="24"/>
        </w:rPr>
      </w:pPr>
      <w:r w:rsidRPr="00FD63B3">
        <w:rPr>
          <w:rFonts w:ascii="Times New Roman" w:hAnsi="Times New Roman"/>
          <w:sz w:val="24"/>
          <w:szCs w:val="24"/>
        </w:rPr>
        <w:t xml:space="preserve">La formazione organizzata e gestita dalle amministrazioni pubbliche rappresenta, tuttavia, solo un’opportunità di formazione alternativa a quella erogata direttamente all’interno delle imprese o su responsabilità esclusiva delle stesse. Pertanto, il dato relativo al numero dei partecipanti ai percorsi pubblici di formazione non esaurisce il panorama della formazione erogata in apprendistato. In mancanza di sistemi di monitoraggio che consentano di rilevare il numero di partecipanti alle attività di formazione formale interne alle imprese o realizzate su iniziativa delle stesse, è possibile conoscere esclusivamente il numero di aziende che hanno dichiarato il possesso dei requisiti di capacità formativa laddove rilevato dalle amministrazioni regionali/provinciali. Sono </w:t>
      </w:r>
      <w:r>
        <w:rPr>
          <w:rFonts w:ascii="Times New Roman" w:hAnsi="Times New Roman"/>
          <w:sz w:val="24"/>
          <w:szCs w:val="24"/>
        </w:rPr>
        <w:t>undici</w:t>
      </w:r>
      <w:r w:rsidRPr="00FD63B3">
        <w:rPr>
          <w:rFonts w:ascii="Times New Roman" w:hAnsi="Times New Roman"/>
          <w:sz w:val="24"/>
          <w:szCs w:val="24"/>
        </w:rPr>
        <w:t xml:space="preserve"> le regioni ad aver fornito tale informazione</w:t>
      </w:r>
      <w:r>
        <w:rPr>
          <w:rStyle w:val="Rimandonotaapidipagina"/>
          <w:rFonts w:ascii="Times New Roman" w:hAnsi="Times New Roman"/>
          <w:sz w:val="24"/>
          <w:szCs w:val="24"/>
        </w:rPr>
        <w:footnoteReference w:id="6"/>
      </w:r>
      <w:r w:rsidRPr="00FD63B3">
        <w:rPr>
          <w:rFonts w:ascii="Times New Roman" w:hAnsi="Times New Roman"/>
          <w:sz w:val="24"/>
          <w:szCs w:val="24"/>
        </w:rPr>
        <w:t>.</w:t>
      </w:r>
    </w:p>
    <w:p w:rsidR="008530E1" w:rsidRPr="00995F6C" w:rsidRDefault="008530E1" w:rsidP="008530E1">
      <w:pPr>
        <w:spacing w:before="120" w:after="120" w:line="240" w:lineRule="auto"/>
        <w:jc w:val="both"/>
        <w:rPr>
          <w:rFonts w:ascii="Times New Roman" w:hAnsi="Times New Roman"/>
          <w:sz w:val="24"/>
          <w:szCs w:val="24"/>
        </w:rPr>
      </w:pPr>
      <w:r w:rsidRPr="00995F6C">
        <w:rPr>
          <w:rFonts w:ascii="Times New Roman" w:hAnsi="Times New Roman"/>
          <w:sz w:val="24"/>
          <w:szCs w:val="24"/>
        </w:rPr>
        <w:t>Le regolamentazioni regionali hanno definito le modalità di attuazione della formazione in impresa</w:t>
      </w:r>
      <w:r>
        <w:rPr>
          <w:rStyle w:val="Rimandonotaapidipagina"/>
          <w:rFonts w:ascii="Times New Roman" w:hAnsi="Times New Roman"/>
          <w:sz w:val="24"/>
          <w:szCs w:val="24"/>
        </w:rPr>
        <w:footnoteReference w:id="7"/>
      </w:r>
      <w:r>
        <w:rPr>
          <w:rFonts w:ascii="Times New Roman" w:hAnsi="Times New Roman"/>
          <w:sz w:val="24"/>
          <w:szCs w:val="24"/>
        </w:rPr>
        <w:t>,</w:t>
      </w:r>
      <w:r w:rsidRPr="00995F6C">
        <w:rPr>
          <w:rFonts w:ascii="Times New Roman" w:hAnsi="Times New Roman"/>
          <w:sz w:val="24"/>
          <w:szCs w:val="24"/>
        </w:rPr>
        <w:t xml:space="preserve"> prevedendo requisiti più o meno stringenti per l’erogazione interna della stessa. Alcune Regioni hanno stabilito che le aziende possano trasferire all’interno le sole competenze tecnico-professionali, altre invece prevedono che, in presenza di determinati requisiti o sulla base di quanto previsto dalla contrattazione collettiva, tutta la formazione formale possa essere erogata all’interno della struttura aziendale.</w:t>
      </w:r>
    </w:p>
    <w:p w:rsidR="008530E1" w:rsidRPr="00995F6C" w:rsidRDefault="008530E1" w:rsidP="008530E1">
      <w:pPr>
        <w:spacing w:before="120" w:after="120" w:line="240" w:lineRule="auto"/>
        <w:jc w:val="both"/>
        <w:rPr>
          <w:rFonts w:ascii="Times New Roman" w:hAnsi="Times New Roman"/>
          <w:sz w:val="24"/>
          <w:szCs w:val="24"/>
        </w:rPr>
      </w:pPr>
      <w:r w:rsidRPr="00CD4294">
        <w:rPr>
          <w:rFonts w:ascii="Times New Roman" w:hAnsi="Times New Roman"/>
          <w:sz w:val="24"/>
          <w:szCs w:val="24"/>
        </w:rPr>
        <w:t>La maggior parte delle aziende si è accreditata per trasferire all’interno tutte le competenze (3.062 imprese), o le sole competenze tecnico-professionali (3.199 aziende)</w:t>
      </w:r>
      <w:r w:rsidRPr="00CD4294">
        <w:rPr>
          <w:rStyle w:val="Rimandonotaapidipagina"/>
          <w:rFonts w:ascii="Times New Roman" w:hAnsi="Times New Roman"/>
          <w:sz w:val="24"/>
          <w:szCs w:val="24"/>
        </w:rPr>
        <w:footnoteReference w:id="8"/>
      </w:r>
      <w:r w:rsidRPr="00CD4294">
        <w:rPr>
          <w:rFonts w:ascii="Times New Roman" w:hAnsi="Times New Roman"/>
          <w:sz w:val="24"/>
          <w:szCs w:val="24"/>
        </w:rPr>
        <w:t>. Più esiguo il numero di</w:t>
      </w:r>
      <w:r w:rsidRPr="00995F6C">
        <w:rPr>
          <w:rFonts w:ascii="Times New Roman" w:hAnsi="Times New Roman"/>
          <w:sz w:val="24"/>
          <w:szCs w:val="24"/>
        </w:rPr>
        <w:t xml:space="preserve"> quanti si sono accreditati per il trasferimento in impresa delle competenze di base e trasversali, ovvero 1.285 aziende. La possibilità di erogare all’interno tali competenze richiede, infatti, il possesso di requisiti più stringenti rispetto a quelli necessari per il trasferimento in impresa delle competenze tecnico-profession</w:t>
      </w:r>
      <w:r>
        <w:rPr>
          <w:rFonts w:ascii="Times New Roman" w:hAnsi="Times New Roman"/>
          <w:sz w:val="24"/>
          <w:szCs w:val="24"/>
        </w:rPr>
        <w:t>ali; inoltre, non sono molte le Regioni/P</w:t>
      </w:r>
      <w:r w:rsidRPr="00995F6C">
        <w:rPr>
          <w:rFonts w:ascii="Times New Roman" w:hAnsi="Times New Roman"/>
          <w:sz w:val="24"/>
          <w:szCs w:val="24"/>
        </w:rPr>
        <w:t xml:space="preserve">rovince che prevedono tale possibilità. </w:t>
      </w:r>
    </w:p>
    <w:p w:rsidR="008530E1" w:rsidRPr="00995F6C" w:rsidRDefault="008530E1" w:rsidP="008530E1">
      <w:pPr>
        <w:spacing w:before="120" w:after="120" w:line="240" w:lineRule="auto"/>
        <w:jc w:val="both"/>
        <w:rPr>
          <w:rFonts w:ascii="Times New Roman" w:hAnsi="Times New Roman"/>
          <w:sz w:val="24"/>
          <w:szCs w:val="24"/>
        </w:rPr>
      </w:pPr>
      <w:r w:rsidRPr="00995F6C">
        <w:rPr>
          <w:rFonts w:ascii="Times New Roman" w:hAnsi="Times New Roman"/>
          <w:sz w:val="24"/>
          <w:szCs w:val="24"/>
        </w:rPr>
        <w:t xml:space="preserve">I numeri citati rappresentano solo una quota delle aziende che nel periodo in esame hanno previsto di erogare la formazione formale all’interno o comunque sotto la propria responsabilità. </w:t>
      </w:r>
      <w:r w:rsidRPr="001B7BA7">
        <w:rPr>
          <w:rFonts w:ascii="Times New Roman" w:hAnsi="Times New Roman"/>
          <w:sz w:val="24"/>
          <w:szCs w:val="24"/>
        </w:rPr>
        <w:t>La dichiarazione di capacità formativa rilasciata dalle imprese è da intendersi, infatti, riferita all’intera durata del percorso di un apprendista e in molti territori è legata ad uno o più profili formativi.</w:t>
      </w:r>
    </w:p>
    <w:p w:rsidR="008530E1" w:rsidRPr="00995F6C" w:rsidRDefault="008530E1" w:rsidP="008530E1">
      <w:pPr>
        <w:rPr>
          <w:rFonts w:ascii="Times New Roman" w:hAnsi="Times New Roman"/>
          <w:sz w:val="24"/>
          <w:szCs w:val="24"/>
        </w:rPr>
      </w:pPr>
    </w:p>
    <w:p w:rsidR="008530E1" w:rsidRPr="003A1B1C" w:rsidRDefault="008530E1" w:rsidP="008530E1">
      <w:pPr>
        <w:pStyle w:val="Paragrafoelenco"/>
        <w:numPr>
          <w:ilvl w:val="1"/>
          <w:numId w:val="1"/>
        </w:numPr>
        <w:spacing w:after="0" w:line="240" w:lineRule="auto"/>
        <w:ind w:left="426" w:hanging="426"/>
        <w:rPr>
          <w:rFonts w:ascii="Times New Roman" w:hAnsi="Times New Roman"/>
          <w:b/>
          <w:sz w:val="24"/>
          <w:szCs w:val="24"/>
        </w:rPr>
      </w:pPr>
      <w:r w:rsidRPr="003A1B1C">
        <w:rPr>
          <w:rFonts w:ascii="Times New Roman" w:hAnsi="Times New Roman"/>
          <w:b/>
          <w:sz w:val="24"/>
          <w:szCs w:val="24"/>
        </w:rPr>
        <w:t xml:space="preserve">Le risorse per i sistemi di formazione per l’apprendistato </w:t>
      </w:r>
    </w:p>
    <w:p w:rsidR="008530E1" w:rsidRDefault="008530E1" w:rsidP="008530E1">
      <w:pPr>
        <w:pStyle w:val="Paragrafoelenco"/>
        <w:spacing w:after="0" w:line="240" w:lineRule="auto"/>
        <w:ind w:left="426"/>
        <w:rPr>
          <w:rFonts w:ascii="Times New Roman" w:hAnsi="Times New Roman"/>
          <w:b/>
          <w:i/>
          <w:sz w:val="24"/>
          <w:szCs w:val="24"/>
        </w:rPr>
      </w:pPr>
    </w:p>
    <w:p w:rsidR="008530E1" w:rsidRPr="00FA3E54" w:rsidRDefault="008530E1" w:rsidP="008530E1">
      <w:pPr>
        <w:pStyle w:val="Paragrafoelenco"/>
        <w:spacing w:after="0" w:line="240" w:lineRule="auto"/>
        <w:ind w:left="426"/>
        <w:rPr>
          <w:rFonts w:ascii="Times New Roman" w:hAnsi="Times New Roman"/>
          <w:sz w:val="24"/>
          <w:szCs w:val="24"/>
        </w:rPr>
      </w:pPr>
    </w:p>
    <w:p w:rsidR="008530E1" w:rsidRPr="00EE690D" w:rsidRDefault="008530E1" w:rsidP="008530E1">
      <w:pPr>
        <w:autoSpaceDE w:val="0"/>
        <w:autoSpaceDN w:val="0"/>
        <w:adjustRightInd w:val="0"/>
        <w:spacing w:after="0" w:line="240" w:lineRule="auto"/>
        <w:jc w:val="both"/>
        <w:rPr>
          <w:rFonts w:ascii="Times New Roman" w:hAnsi="Times New Roman"/>
          <w:sz w:val="24"/>
          <w:szCs w:val="24"/>
        </w:rPr>
      </w:pPr>
      <w:r w:rsidRPr="00EE690D">
        <w:rPr>
          <w:rFonts w:ascii="Times New Roman" w:hAnsi="Times New Roman"/>
          <w:sz w:val="24"/>
          <w:szCs w:val="24"/>
        </w:rPr>
        <w:t xml:space="preserve">Nel corso del 2011 le risorse impegnate </w:t>
      </w:r>
      <w:r>
        <w:rPr>
          <w:rFonts w:ascii="Times New Roman" w:hAnsi="Times New Roman"/>
          <w:sz w:val="24"/>
          <w:szCs w:val="24"/>
        </w:rPr>
        <w:t>dalle amministrazioni territoriali, per finanziare le attività per l’apprendistato</w:t>
      </w:r>
      <w:r w:rsidRPr="00EE690D">
        <w:rPr>
          <w:rFonts w:ascii="Times New Roman" w:hAnsi="Times New Roman"/>
          <w:sz w:val="24"/>
          <w:szCs w:val="24"/>
        </w:rPr>
        <w:t xml:space="preserve"> sono pari a circa 183</w:t>
      </w:r>
      <w:r>
        <w:rPr>
          <w:rFonts w:ascii="Times New Roman" w:hAnsi="Times New Roman"/>
          <w:sz w:val="24"/>
          <w:szCs w:val="24"/>
        </w:rPr>
        <w:t xml:space="preserve"> milioni di euro (cfr. tab. 32)</w:t>
      </w:r>
      <w:r w:rsidRPr="00534D79">
        <w:rPr>
          <w:rFonts w:ascii="Times New Roman" w:hAnsi="Times New Roman"/>
          <w:sz w:val="24"/>
          <w:szCs w:val="24"/>
        </w:rPr>
        <w:t>, con</w:t>
      </w:r>
      <w:r w:rsidRPr="00EE690D">
        <w:rPr>
          <w:rFonts w:ascii="Times New Roman" w:hAnsi="Times New Roman"/>
          <w:sz w:val="24"/>
          <w:szCs w:val="24"/>
        </w:rPr>
        <w:t xml:space="preserve"> un incremento del 9,4% rispetto all’anno precedente.</w:t>
      </w:r>
    </w:p>
    <w:p w:rsidR="008530E1" w:rsidRDefault="008530E1" w:rsidP="008530E1">
      <w:pPr>
        <w:autoSpaceDE w:val="0"/>
        <w:autoSpaceDN w:val="0"/>
        <w:adjustRightInd w:val="0"/>
        <w:spacing w:after="0" w:line="240" w:lineRule="auto"/>
        <w:jc w:val="both"/>
        <w:rPr>
          <w:rFonts w:ascii="Tahoma" w:hAnsi="Tahoma" w:cs="Tahoma"/>
        </w:rPr>
      </w:pPr>
    </w:p>
    <w:p w:rsidR="008530E1" w:rsidRDefault="008530E1" w:rsidP="008530E1">
      <w:pPr>
        <w:autoSpaceDE w:val="0"/>
        <w:autoSpaceDN w:val="0"/>
        <w:adjustRightInd w:val="0"/>
        <w:spacing w:after="0" w:line="240" w:lineRule="auto"/>
        <w:jc w:val="both"/>
        <w:rPr>
          <w:rFonts w:ascii="Tahoma" w:hAnsi="Tahoma" w:cs="Tahoma"/>
        </w:rPr>
      </w:pPr>
    </w:p>
    <w:p w:rsidR="008530E1" w:rsidRDefault="008530E1" w:rsidP="008530E1">
      <w:pPr>
        <w:autoSpaceDE w:val="0"/>
        <w:autoSpaceDN w:val="0"/>
        <w:adjustRightInd w:val="0"/>
        <w:spacing w:after="0" w:line="240" w:lineRule="auto"/>
        <w:jc w:val="both"/>
        <w:rPr>
          <w:rFonts w:ascii="Times New Roman" w:hAnsi="Times New Roman"/>
          <w:b/>
        </w:rPr>
      </w:pPr>
      <w:r w:rsidRPr="00534D79">
        <w:rPr>
          <w:rFonts w:ascii="Times New Roman" w:hAnsi="Times New Roman"/>
          <w:b/>
        </w:rPr>
        <w:t>Tabella 3</w:t>
      </w:r>
      <w:r>
        <w:rPr>
          <w:rFonts w:ascii="Times New Roman" w:hAnsi="Times New Roman"/>
          <w:b/>
        </w:rPr>
        <w:t xml:space="preserve">2 – Risorse impegnate da </w:t>
      </w:r>
      <w:r w:rsidRPr="00EE690D">
        <w:rPr>
          <w:rFonts w:ascii="Times New Roman" w:hAnsi="Times New Roman"/>
          <w:b/>
        </w:rPr>
        <w:t xml:space="preserve">Regioni e </w:t>
      </w:r>
      <w:r>
        <w:rPr>
          <w:rFonts w:ascii="Times New Roman" w:hAnsi="Times New Roman"/>
          <w:b/>
        </w:rPr>
        <w:t>P.A. per formazione apprendistato -</w:t>
      </w:r>
      <w:r w:rsidRPr="00EE690D">
        <w:rPr>
          <w:rFonts w:ascii="Times New Roman" w:hAnsi="Times New Roman"/>
          <w:b/>
        </w:rPr>
        <w:t xml:space="preserve"> 2010 e 2011 </w:t>
      </w:r>
    </w:p>
    <w:tbl>
      <w:tblPr>
        <w:tblW w:w="9214" w:type="dxa"/>
        <w:tblInd w:w="70" w:type="dxa"/>
        <w:tblLayout w:type="fixed"/>
        <w:tblCellMar>
          <w:left w:w="70" w:type="dxa"/>
          <w:right w:w="70" w:type="dxa"/>
        </w:tblCellMar>
        <w:tblLook w:val="0000"/>
      </w:tblPr>
      <w:tblGrid>
        <w:gridCol w:w="1843"/>
        <w:gridCol w:w="2126"/>
        <w:gridCol w:w="2410"/>
        <w:gridCol w:w="2835"/>
      </w:tblGrid>
      <w:tr w:rsidR="008530E1" w:rsidRPr="00EE690D" w:rsidTr="00CA64D3">
        <w:trPr>
          <w:trHeight w:val="309"/>
        </w:trPr>
        <w:tc>
          <w:tcPr>
            <w:tcW w:w="1843" w:type="dxa"/>
            <w:tcBorders>
              <w:top w:val="single" w:sz="4" w:space="0" w:color="auto"/>
              <w:bottom w:val="single" w:sz="4" w:space="0" w:color="auto"/>
            </w:tcBorders>
            <w:vAlign w:val="bottom"/>
          </w:tcPr>
          <w:p w:rsidR="008530E1" w:rsidRDefault="008530E1" w:rsidP="00CA64D3">
            <w:pPr>
              <w:rPr>
                <w:rFonts w:ascii="Times New Roman" w:hAnsi="Times New Roman"/>
                <w:b/>
                <w:color w:val="000000"/>
                <w:sz w:val="20"/>
                <w:szCs w:val="20"/>
              </w:rPr>
            </w:pPr>
            <w:r w:rsidRPr="00EE690D">
              <w:rPr>
                <w:rFonts w:ascii="Times New Roman" w:hAnsi="Times New Roman"/>
                <w:b/>
                <w:color w:val="000000"/>
                <w:sz w:val="20"/>
                <w:szCs w:val="20"/>
              </w:rPr>
              <w:t>Macro-aree</w:t>
            </w:r>
          </w:p>
          <w:p w:rsidR="008530E1" w:rsidRPr="00EE690D" w:rsidRDefault="008530E1" w:rsidP="00CA64D3">
            <w:pPr>
              <w:rPr>
                <w:rFonts w:ascii="Times New Roman" w:hAnsi="Times New Roman"/>
                <w:b/>
                <w:color w:val="000000"/>
                <w:sz w:val="20"/>
                <w:szCs w:val="20"/>
              </w:rPr>
            </w:pPr>
          </w:p>
        </w:tc>
        <w:tc>
          <w:tcPr>
            <w:tcW w:w="2126" w:type="dxa"/>
            <w:tcBorders>
              <w:top w:val="single" w:sz="4" w:space="0" w:color="auto"/>
              <w:bottom w:val="single" w:sz="4" w:space="0" w:color="auto"/>
            </w:tcBorders>
            <w:vAlign w:val="center"/>
          </w:tcPr>
          <w:p w:rsidR="008530E1" w:rsidRDefault="008530E1" w:rsidP="00CA64D3">
            <w:pPr>
              <w:jc w:val="center"/>
              <w:rPr>
                <w:rFonts w:ascii="Times New Roman" w:hAnsi="Times New Roman"/>
                <w:b/>
                <w:color w:val="000000"/>
                <w:sz w:val="20"/>
                <w:szCs w:val="20"/>
              </w:rPr>
            </w:pPr>
            <w:r w:rsidRPr="00EE690D">
              <w:rPr>
                <w:rFonts w:ascii="Times New Roman" w:hAnsi="Times New Roman"/>
                <w:b/>
                <w:color w:val="000000"/>
                <w:sz w:val="20"/>
                <w:szCs w:val="20"/>
              </w:rPr>
              <w:t>2010</w:t>
            </w:r>
          </w:p>
          <w:p w:rsidR="008530E1" w:rsidRPr="00EE690D" w:rsidRDefault="008530E1" w:rsidP="00CA64D3">
            <w:pPr>
              <w:jc w:val="center"/>
              <w:rPr>
                <w:rFonts w:ascii="Times New Roman" w:hAnsi="Times New Roman"/>
                <w:b/>
                <w:color w:val="000000"/>
                <w:sz w:val="20"/>
                <w:szCs w:val="20"/>
              </w:rPr>
            </w:pPr>
            <w:r>
              <w:rPr>
                <w:rFonts w:ascii="Times New Roman" w:hAnsi="Times New Roman"/>
                <w:b/>
                <w:color w:val="000000"/>
                <w:sz w:val="20"/>
                <w:szCs w:val="20"/>
              </w:rPr>
              <w:t>Valori assoluti</w:t>
            </w:r>
          </w:p>
        </w:tc>
        <w:tc>
          <w:tcPr>
            <w:tcW w:w="2410" w:type="dxa"/>
            <w:tcBorders>
              <w:top w:val="single" w:sz="4" w:space="0" w:color="auto"/>
              <w:bottom w:val="single" w:sz="4" w:space="0" w:color="auto"/>
            </w:tcBorders>
            <w:vAlign w:val="center"/>
          </w:tcPr>
          <w:p w:rsidR="008530E1" w:rsidRDefault="008530E1" w:rsidP="00CA64D3">
            <w:pPr>
              <w:jc w:val="center"/>
              <w:rPr>
                <w:rFonts w:ascii="Times New Roman" w:hAnsi="Times New Roman"/>
                <w:b/>
                <w:color w:val="000000"/>
                <w:sz w:val="20"/>
                <w:szCs w:val="20"/>
              </w:rPr>
            </w:pPr>
            <w:r w:rsidRPr="00EE690D">
              <w:rPr>
                <w:rFonts w:ascii="Times New Roman" w:hAnsi="Times New Roman"/>
                <w:b/>
                <w:color w:val="000000"/>
                <w:sz w:val="20"/>
                <w:szCs w:val="20"/>
              </w:rPr>
              <w:t>2011</w:t>
            </w:r>
          </w:p>
          <w:p w:rsidR="008530E1" w:rsidRPr="00EE690D" w:rsidRDefault="008530E1" w:rsidP="00CA64D3">
            <w:pPr>
              <w:jc w:val="center"/>
              <w:rPr>
                <w:rFonts w:ascii="Times New Roman" w:hAnsi="Times New Roman"/>
                <w:b/>
                <w:color w:val="000000"/>
                <w:sz w:val="20"/>
                <w:szCs w:val="20"/>
              </w:rPr>
            </w:pPr>
            <w:r>
              <w:rPr>
                <w:rFonts w:ascii="Times New Roman" w:hAnsi="Times New Roman"/>
                <w:b/>
                <w:color w:val="000000"/>
                <w:sz w:val="20"/>
                <w:szCs w:val="20"/>
              </w:rPr>
              <w:t>Valori assoluti</w:t>
            </w:r>
          </w:p>
        </w:tc>
        <w:tc>
          <w:tcPr>
            <w:tcW w:w="2835" w:type="dxa"/>
            <w:tcBorders>
              <w:top w:val="single" w:sz="4" w:space="0" w:color="auto"/>
              <w:bottom w:val="single" w:sz="4" w:space="0" w:color="auto"/>
            </w:tcBorders>
            <w:vAlign w:val="center"/>
          </w:tcPr>
          <w:p w:rsidR="008530E1" w:rsidRDefault="008530E1" w:rsidP="00CA64D3">
            <w:pPr>
              <w:jc w:val="center"/>
              <w:rPr>
                <w:rFonts w:ascii="Times New Roman" w:hAnsi="Times New Roman"/>
                <w:b/>
                <w:color w:val="000000"/>
                <w:sz w:val="20"/>
                <w:szCs w:val="20"/>
              </w:rPr>
            </w:pPr>
            <w:r w:rsidRPr="00EE690D">
              <w:rPr>
                <w:rFonts w:ascii="Times New Roman" w:hAnsi="Times New Roman"/>
                <w:b/>
                <w:color w:val="000000"/>
                <w:sz w:val="20"/>
                <w:szCs w:val="20"/>
              </w:rPr>
              <w:t>2010/2011</w:t>
            </w:r>
          </w:p>
          <w:p w:rsidR="008530E1" w:rsidRPr="00EE690D" w:rsidRDefault="008530E1" w:rsidP="00CA64D3">
            <w:pPr>
              <w:ind w:left="85"/>
              <w:jc w:val="center"/>
              <w:rPr>
                <w:rFonts w:ascii="Times New Roman" w:hAnsi="Times New Roman"/>
                <w:b/>
                <w:color w:val="000000"/>
                <w:sz w:val="20"/>
                <w:szCs w:val="20"/>
              </w:rPr>
            </w:pPr>
            <w:proofErr w:type="spellStart"/>
            <w:r>
              <w:rPr>
                <w:rFonts w:ascii="Times New Roman" w:hAnsi="Times New Roman"/>
                <w:b/>
                <w:color w:val="000000"/>
                <w:sz w:val="20"/>
                <w:szCs w:val="20"/>
              </w:rPr>
              <w:t>Variaz</w:t>
            </w:r>
            <w:proofErr w:type="spellEnd"/>
            <w:r>
              <w:rPr>
                <w:rFonts w:ascii="Times New Roman" w:hAnsi="Times New Roman"/>
                <w:b/>
                <w:color w:val="000000"/>
                <w:sz w:val="20"/>
                <w:szCs w:val="20"/>
              </w:rPr>
              <w:t>. % su anno precedente</w:t>
            </w:r>
          </w:p>
        </w:tc>
      </w:tr>
      <w:tr w:rsidR="008530E1" w:rsidRPr="00EE690D" w:rsidTr="00CA64D3">
        <w:trPr>
          <w:trHeight w:val="300"/>
        </w:trPr>
        <w:tc>
          <w:tcPr>
            <w:tcW w:w="1843" w:type="dxa"/>
            <w:tcBorders>
              <w:top w:val="single" w:sz="4" w:space="0" w:color="auto"/>
            </w:tcBorders>
            <w:vAlign w:val="center"/>
          </w:tcPr>
          <w:p w:rsidR="008530E1" w:rsidRPr="00EE690D" w:rsidRDefault="008530E1" w:rsidP="00CA64D3">
            <w:pPr>
              <w:spacing w:line="280" w:lineRule="exact"/>
              <w:rPr>
                <w:rFonts w:ascii="Times New Roman" w:hAnsi="Times New Roman"/>
                <w:b/>
                <w:color w:val="000000"/>
                <w:sz w:val="20"/>
                <w:szCs w:val="20"/>
              </w:rPr>
            </w:pPr>
            <w:r w:rsidRPr="00EE690D">
              <w:rPr>
                <w:rFonts w:ascii="Times New Roman" w:hAnsi="Times New Roman"/>
                <w:b/>
                <w:color w:val="000000"/>
                <w:sz w:val="20"/>
                <w:szCs w:val="20"/>
              </w:rPr>
              <w:t>Nord</w:t>
            </w:r>
          </w:p>
        </w:tc>
        <w:tc>
          <w:tcPr>
            <w:tcW w:w="2126" w:type="dxa"/>
            <w:tcBorders>
              <w:top w:val="single" w:sz="4" w:space="0" w:color="auto"/>
            </w:tcBorders>
            <w:vAlign w:val="bottom"/>
          </w:tcPr>
          <w:p w:rsidR="008530E1" w:rsidRPr="00EE690D" w:rsidRDefault="008530E1" w:rsidP="00CA64D3">
            <w:pPr>
              <w:spacing w:line="280" w:lineRule="exact"/>
              <w:jc w:val="center"/>
              <w:rPr>
                <w:rFonts w:ascii="Times New Roman" w:hAnsi="Times New Roman"/>
                <w:sz w:val="20"/>
                <w:szCs w:val="20"/>
              </w:rPr>
            </w:pPr>
            <w:r w:rsidRPr="00EE690D">
              <w:rPr>
                <w:rFonts w:ascii="Times New Roman" w:hAnsi="Times New Roman"/>
                <w:sz w:val="20"/>
                <w:szCs w:val="20"/>
              </w:rPr>
              <w:t>113.191.544,62</w:t>
            </w:r>
          </w:p>
        </w:tc>
        <w:tc>
          <w:tcPr>
            <w:tcW w:w="2410" w:type="dxa"/>
            <w:tcBorders>
              <w:top w:val="single" w:sz="4" w:space="0" w:color="auto"/>
            </w:tcBorders>
            <w:vAlign w:val="center"/>
          </w:tcPr>
          <w:p w:rsidR="008530E1" w:rsidRPr="00EE690D" w:rsidRDefault="008530E1" w:rsidP="00CA64D3">
            <w:pPr>
              <w:jc w:val="center"/>
              <w:rPr>
                <w:rFonts w:ascii="Times New Roman" w:hAnsi="Times New Roman"/>
                <w:sz w:val="20"/>
                <w:szCs w:val="20"/>
              </w:rPr>
            </w:pPr>
            <w:r w:rsidRPr="00EE690D">
              <w:rPr>
                <w:rFonts w:ascii="Times New Roman" w:hAnsi="Times New Roman"/>
                <w:sz w:val="20"/>
                <w:szCs w:val="20"/>
              </w:rPr>
              <w:t>125.248.666,98</w:t>
            </w:r>
          </w:p>
        </w:tc>
        <w:tc>
          <w:tcPr>
            <w:tcW w:w="2835" w:type="dxa"/>
            <w:tcBorders>
              <w:top w:val="single" w:sz="4" w:space="0" w:color="auto"/>
            </w:tcBorders>
            <w:vAlign w:val="center"/>
          </w:tcPr>
          <w:p w:rsidR="008530E1" w:rsidRPr="00EE690D" w:rsidRDefault="008530E1" w:rsidP="00CA64D3">
            <w:pPr>
              <w:jc w:val="center"/>
              <w:rPr>
                <w:rFonts w:ascii="Times New Roman" w:hAnsi="Times New Roman"/>
                <w:bCs/>
                <w:sz w:val="20"/>
                <w:szCs w:val="20"/>
              </w:rPr>
            </w:pPr>
            <w:r w:rsidRPr="00EE690D">
              <w:rPr>
                <w:rFonts w:ascii="Times New Roman" w:hAnsi="Times New Roman"/>
                <w:bCs/>
                <w:sz w:val="20"/>
                <w:szCs w:val="20"/>
              </w:rPr>
              <w:t>10,7%</w:t>
            </w:r>
          </w:p>
        </w:tc>
      </w:tr>
      <w:tr w:rsidR="008530E1" w:rsidRPr="00EE690D" w:rsidTr="00CA64D3">
        <w:trPr>
          <w:trHeight w:val="300"/>
        </w:trPr>
        <w:tc>
          <w:tcPr>
            <w:tcW w:w="1843" w:type="dxa"/>
            <w:vAlign w:val="center"/>
          </w:tcPr>
          <w:p w:rsidR="008530E1" w:rsidRPr="00EE690D" w:rsidRDefault="008530E1" w:rsidP="00CA64D3">
            <w:pPr>
              <w:spacing w:line="280" w:lineRule="exact"/>
              <w:rPr>
                <w:rFonts w:ascii="Times New Roman" w:hAnsi="Times New Roman"/>
                <w:color w:val="000000"/>
                <w:sz w:val="20"/>
                <w:szCs w:val="20"/>
              </w:rPr>
            </w:pPr>
            <w:r w:rsidRPr="00EE690D">
              <w:rPr>
                <w:rFonts w:ascii="Times New Roman" w:hAnsi="Times New Roman"/>
                <w:color w:val="000000"/>
                <w:sz w:val="20"/>
                <w:szCs w:val="20"/>
              </w:rPr>
              <w:t>Nord-Ovest</w:t>
            </w:r>
          </w:p>
        </w:tc>
        <w:tc>
          <w:tcPr>
            <w:tcW w:w="2126" w:type="dxa"/>
            <w:vAlign w:val="center"/>
          </w:tcPr>
          <w:p w:rsidR="008530E1" w:rsidRPr="00EE690D" w:rsidRDefault="008530E1" w:rsidP="00CA64D3">
            <w:pPr>
              <w:spacing w:line="280" w:lineRule="exact"/>
              <w:jc w:val="center"/>
              <w:rPr>
                <w:rFonts w:ascii="Times New Roman" w:hAnsi="Times New Roman"/>
                <w:sz w:val="20"/>
                <w:szCs w:val="20"/>
              </w:rPr>
            </w:pPr>
            <w:r w:rsidRPr="00EE690D">
              <w:rPr>
                <w:rFonts w:ascii="Times New Roman" w:hAnsi="Times New Roman"/>
                <w:sz w:val="20"/>
                <w:szCs w:val="20"/>
              </w:rPr>
              <w:t>44.448.415,17</w:t>
            </w:r>
          </w:p>
        </w:tc>
        <w:tc>
          <w:tcPr>
            <w:tcW w:w="2410" w:type="dxa"/>
            <w:vAlign w:val="center"/>
          </w:tcPr>
          <w:p w:rsidR="008530E1" w:rsidRPr="00EE690D" w:rsidRDefault="008530E1" w:rsidP="00CA64D3">
            <w:pPr>
              <w:jc w:val="center"/>
              <w:rPr>
                <w:rFonts w:ascii="Times New Roman" w:hAnsi="Times New Roman"/>
                <w:sz w:val="20"/>
                <w:szCs w:val="20"/>
              </w:rPr>
            </w:pPr>
            <w:r w:rsidRPr="00EE690D">
              <w:rPr>
                <w:rFonts w:ascii="Times New Roman" w:hAnsi="Times New Roman"/>
                <w:sz w:val="20"/>
                <w:szCs w:val="20"/>
              </w:rPr>
              <w:t>57.795.491,20</w:t>
            </w:r>
          </w:p>
        </w:tc>
        <w:tc>
          <w:tcPr>
            <w:tcW w:w="2835" w:type="dxa"/>
            <w:vAlign w:val="center"/>
          </w:tcPr>
          <w:p w:rsidR="008530E1" w:rsidRPr="00EE690D" w:rsidRDefault="008530E1" w:rsidP="00CA64D3">
            <w:pPr>
              <w:jc w:val="center"/>
              <w:rPr>
                <w:rFonts w:ascii="Times New Roman" w:hAnsi="Times New Roman"/>
                <w:iCs/>
                <w:sz w:val="20"/>
                <w:szCs w:val="20"/>
              </w:rPr>
            </w:pPr>
            <w:r w:rsidRPr="00EE690D">
              <w:rPr>
                <w:rFonts w:ascii="Times New Roman" w:hAnsi="Times New Roman"/>
                <w:iCs/>
                <w:sz w:val="20"/>
                <w:szCs w:val="20"/>
              </w:rPr>
              <w:t>30,0%</w:t>
            </w:r>
          </w:p>
        </w:tc>
      </w:tr>
      <w:tr w:rsidR="008530E1" w:rsidRPr="00EE690D" w:rsidTr="00CA64D3">
        <w:trPr>
          <w:trHeight w:val="300"/>
        </w:trPr>
        <w:tc>
          <w:tcPr>
            <w:tcW w:w="1843" w:type="dxa"/>
            <w:vAlign w:val="center"/>
          </w:tcPr>
          <w:p w:rsidR="008530E1" w:rsidRPr="00EE690D" w:rsidRDefault="008530E1" w:rsidP="00CA64D3">
            <w:pPr>
              <w:spacing w:line="280" w:lineRule="exact"/>
              <w:rPr>
                <w:rFonts w:ascii="Times New Roman" w:hAnsi="Times New Roman"/>
                <w:color w:val="000000"/>
                <w:sz w:val="20"/>
                <w:szCs w:val="20"/>
              </w:rPr>
            </w:pPr>
            <w:r w:rsidRPr="00EE690D">
              <w:rPr>
                <w:rFonts w:ascii="Times New Roman" w:hAnsi="Times New Roman"/>
                <w:color w:val="000000"/>
                <w:sz w:val="20"/>
                <w:szCs w:val="20"/>
              </w:rPr>
              <w:t>Nord-Est</w:t>
            </w:r>
          </w:p>
        </w:tc>
        <w:tc>
          <w:tcPr>
            <w:tcW w:w="2126" w:type="dxa"/>
            <w:vAlign w:val="center"/>
          </w:tcPr>
          <w:p w:rsidR="008530E1" w:rsidRPr="00EE690D" w:rsidRDefault="008530E1" w:rsidP="00CA64D3">
            <w:pPr>
              <w:spacing w:line="280" w:lineRule="exact"/>
              <w:jc w:val="center"/>
              <w:rPr>
                <w:rFonts w:ascii="Times New Roman" w:hAnsi="Times New Roman"/>
                <w:sz w:val="20"/>
                <w:szCs w:val="20"/>
              </w:rPr>
            </w:pPr>
            <w:r w:rsidRPr="00EE690D">
              <w:rPr>
                <w:rFonts w:ascii="Times New Roman" w:hAnsi="Times New Roman"/>
                <w:sz w:val="20"/>
                <w:szCs w:val="20"/>
              </w:rPr>
              <w:t>68.743.129,45</w:t>
            </w:r>
          </w:p>
        </w:tc>
        <w:tc>
          <w:tcPr>
            <w:tcW w:w="2410" w:type="dxa"/>
            <w:vAlign w:val="center"/>
          </w:tcPr>
          <w:p w:rsidR="008530E1" w:rsidRPr="00EE690D" w:rsidRDefault="008530E1" w:rsidP="00CA64D3">
            <w:pPr>
              <w:jc w:val="center"/>
              <w:rPr>
                <w:rFonts w:ascii="Times New Roman" w:hAnsi="Times New Roman"/>
                <w:sz w:val="20"/>
                <w:szCs w:val="20"/>
              </w:rPr>
            </w:pPr>
            <w:r w:rsidRPr="00EE690D">
              <w:rPr>
                <w:rFonts w:ascii="Times New Roman" w:hAnsi="Times New Roman"/>
                <w:sz w:val="20"/>
                <w:szCs w:val="20"/>
              </w:rPr>
              <w:t>67.453.175,78</w:t>
            </w:r>
          </w:p>
        </w:tc>
        <w:tc>
          <w:tcPr>
            <w:tcW w:w="2835" w:type="dxa"/>
            <w:vAlign w:val="center"/>
          </w:tcPr>
          <w:p w:rsidR="008530E1" w:rsidRPr="00EE690D" w:rsidRDefault="008530E1" w:rsidP="00CA64D3">
            <w:pPr>
              <w:jc w:val="center"/>
              <w:rPr>
                <w:rFonts w:ascii="Times New Roman" w:hAnsi="Times New Roman"/>
                <w:iCs/>
                <w:sz w:val="20"/>
                <w:szCs w:val="20"/>
              </w:rPr>
            </w:pPr>
            <w:r w:rsidRPr="00EE690D">
              <w:rPr>
                <w:rFonts w:ascii="Times New Roman" w:hAnsi="Times New Roman"/>
                <w:iCs/>
                <w:sz w:val="20"/>
                <w:szCs w:val="20"/>
              </w:rPr>
              <w:t>-1,9%</w:t>
            </w:r>
          </w:p>
        </w:tc>
      </w:tr>
      <w:tr w:rsidR="008530E1" w:rsidRPr="00EE690D" w:rsidTr="00CA64D3">
        <w:trPr>
          <w:trHeight w:val="300"/>
        </w:trPr>
        <w:tc>
          <w:tcPr>
            <w:tcW w:w="1843" w:type="dxa"/>
            <w:vAlign w:val="center"/>
          </w:tcPr>
          <w:p w:rsidR="008530E1" w:rsidRPr="00EE690D" w:rsidRDefault="008530E1" w:rsidP="00CA64D3">
            <w:pPr>
              <w:spacing w:line="280" w:lineRule="exact"/>
              <w:rPr>
                <w:rFonts w:ascii="Times New Roman" w:hAnsi="Times New Roman"/>
                <w:b/>
                <w:color w:val="000000"/>
                <w:sz w:val="20"/>
                <w:szCs w:val="20"/>
              </w:rPr>
            </w:pPr>
            <w:r w:rsidRPr="00EE690D">
              <w:rPr>
                <w:rFonts w:ascii="Times New Roman" w:hAnsi="Times New Roman"/>
                <w:b/>
                <w:color w:val="000000"/>
                <w:sz w:val="20"/>
                <w:szCs w:val="20"/>
              </w:rPr>
              <w:t>Centro</w:t>
            </w:r>
          </w:p>
        </w:tc>
        <w:tc>
          <w:tcPr>
            <w:tcW w:w="2126" w:type="dxa"/>
            <w:vAlign w:val="center"/>
          </w:tcPr>
          <w:p w:rsidR="008530E1" w:rsidRPr="00EE690D" w:rsidRDefault="008530E1" w:rsidP="00CA64D3">
            <w:pPr>
              <w:spacing w:line="280" w:lineRule="exact"/>
              <w:jc w:val="center"/>
              <w:rPr>
                <w:rFonts w:ascii="Times New Roman" w:hAnsi="Times New Roman"/>
                <w:sz w:val="20"/>
                <w:szCs w:val="20"/>
              </w:rPr>
            </w:pPr>
            <w:r w:rsidRPr="00EE690D">
              <w:rPr>
                <w:rFonts w:ascii="Times New Roman" w:hAnsi="Times New Roman"/>
                <w:sz w:val="20"/>
                <w:szCs w:val="20"/>
              </w:rPr>
              <w:t>20.255.681,47</w:t>
            </w:r>
          </w:p>
        </w:tc>
        <w:tc>
          <w:tcPr>
            <w:tcW w:w="2410" w:type="dxa"/>
            <w:vAlign w:val="center"/>
          </w:tcPr>
          <w:p w:rsidR="008530E1" w:rsidRPr="00EE690D" w:rsidRDefault="008530E1" w:rsidP="00CA64D3">
            <w:pPr>
              <w:jc w:val="center"/>
              <w:rPr>
                <w:rFonts w:ascii="Times New Roman" w:hAnsi="Times New Roman"/>
                <w:sz w:val="20"/>
                <w:szCs w:val="20"/>
              </w:rPr>
            </w:pPr>
            <w:r w:rsidRPr="00EE690D">
              <w:rPr>
                <w:rFonts w:ascii="Times New Roman" w:hAnsi="Times New Roman"/>
                <w:sz w:val="20"/>
                <w:szCs w:val="20"/>
              </w:rPr>
              <w:t>23.840.805,45</w:t>
            </w:r>
          </w:p>
        </w:tc>
        <w:tc>
          <w:tcPr>
            <w:tcW w:w="2835" w:type="dxa"/>
            <w:vAlign w:val="center"/>
          </w:tcPr>
          <w:p w:rsidR="008530E1" w:rsidRPr="00EE690D" w:rsidRDefault="008530E1" w:rsidP="00CA64D3">
            <w:pPr>
              <w:jc w:val="center"/>
              <w:rPr>
                <w:rFonts w:ascii="Times New Roman" w:hAnsi="Times New Roman"/>
                <w:bCs/>
                <w:sz w:val="20"/>
                <w:szCs w:val="20"/>
              </w:rPr>
            </w:pPr>
            <w:r w:rsidRPr="00EE690D">
              <w:rPr>
                <w:rFonts w:ascii="Times New Roman" w:hAnsi="Times New Roman"/>
                <w:bCs/>
                <w:sz w:val="20"/>
                <w:szCs w:val="20"/>
              </w:rPr>
              <w:t>17,7%</w:t>
            </w:r>
          </w:p>
        </w:tc>
      </w:tr>
      <w:tr w:rsidR="008530E1" w:rsidRPr="00EE690D" w:rsidTr="00CA64D3">
        <w:trPr>
          <w:trHeight w:val="300"/>
        </w:trPr>
        <w:tc>
          <w:tcPr>
            <w:tcW w:w="1843" w:type="dxa"/>
            <w:vAlign w:val="center"/>
          </w:tcPr>
          <w:p w:rsidR="008530E1" w:rsidRPr="00EE690D" w:rsidRDefault="008530E1" w:rsidP="00CA64D3">
            <w:pPr>
              <w:spacing w:line="280" w:lineRule="exact"/>
              <w:rPr>
                <w:rFonts w:ascii="Times New Roman" w:hAnsi="Times New Roman"/>
                <w:b/>
                <w:color w:val="000000"/>
                <w:sz w:val="20"/>
                <w:szCs w:val="20"/>
              </w:rPr>
            </w:pPr>
            <w:r w:rsidRPr="00EE690D">
              <w:rPr>
                <w:rFonts w:ascii="Times New Roman" w:hAnsi="Times New Roman"/>
                <w:b/>
                <w:color w:val="000000"/>
                <w:sz w:val="20"/>
                <w:szCs w:val="20"/>
              </w:rPr>
              <w:t>Sud</w:t>
            </w:r>
          </w:p>
        </w:tc>
        <w:tc>
          <w:tcPr>
            <w:tcW w:w="2126" w:type="dxa"/>
            <w:vAlign w:val="bottom"/>
          </w:tcPr>
          <w:p w:rsidR="008530E1" w:rsidRPr="00EE690D" w:rsidRDefault="008530E1" w:rsidP="00CA64D3">
            <w:pPr>
              <w:spacing w:line="280" w:lineRule="exact"/>
              <w:jc w:val="center"/>
              <w:rPr>
                <w:rFonts w:ascii="Times New Roman" w:hAnsi="Times New Roman"/>
                <w:sz w:val="20"/>
                <w:szCs w:val="20"/>
              </w:rPr>
            </w:pPr>
            <w:r w:rsidRPr="00EE690D">
              <w:rPr>
                <w:rFonts w:ascii="Times New Roman" w:hAnsi="Times New Roman"/>
                <w:sz w:val="20"/>
                <w:szCs w:val="20"/>
              </w:rPr>
              <w:t>34.437.654,02</w:t>
            </w:r>
          </w:p>
        </w:tc>
        <w:tc>
          <w:tcPr>
            <w:tcW w:w="2410" w:type="dxa"/>
            <w:vAlign w:val="center"/>
          </w:tcPr>
          <w:p w:rsidR="008530E1" w:rsidRPr="00EE690D" w:rsidRDefault="008530E1" w:rsidP="00CA64D3">
            <w:pPr>
              <w:jc w:val="center"/>
              <w:rPr>
                <w:rFonts w:ascii="Times New Roman" w:hAnsi="Times New Roman"/>
                <w:sz w:val="20"/>
                <w:szCs w:val="20"/>
              </w:rPr>
            </w:pPr>
            <w:r>
              <w:rPr>
                <w:rFonts w:ascii="Times New Roman" w:hAnsi="Times New Roman"/>
                <w:sz w:val="20"/>
                <w:szCs w:val="20"/>
              </w:rPr>
              <w:t>42.309.602</w:t>
            </w:r>
            <w:r w:rsidRPr="00EE690D">
              <w:rPr>
                <w:rFonts w:ascii="Times New Roman" w:hAnsi="Times New Roman"/>
                <w:sz w:val="20"/>
                <w:szCs w:val="20"/>
              </w:rPr>
              <w:t>,55</w:t>
            </w:r>
          </w:p>
        </w:tc>
        <w:tc>
          <w:tcPr>
            <w:tcW w:w="2835" w:type="dxa"/>
            <w:vAlign w:val="center"/>
          </w:tcPr>
          <w:p w:rsidR="008530E1" w:rsidRPr="00EE690D" w:rsidRDefault="008530E1" w:rsidP="00CA64D3">
            <w:pPr>
              <w:jc w:val="center"/>
              <w:rPr>
                <w:rFonts w:ascii="Times New Roman" w:hAnsi="Times New Roman"/>
                <w:bCs/>
                <w:sz w:val="20"/>
                <w:szCs w:val="20"/>
              </w:rPr>
            </w:pPr>
            <w:r>
              <w:rPr>
                <w:rFonts w:ascii="Times New Roman" w:hAnsi="Times New Roman"/>
                <w:bCs/>
                <w:sz w:val="20"/>
                <w:szCs w:val="20"/>
              </w:rPr>
              <w:t>22,9</w:t>
            </w:r>
            <w:r w:rsidRPr="00EE690D">
              <w:rPr>
                <w:rFonts w:ascii="Times New Roman" w:hAnsi="Times New Roman"/>
                <w:bCs/>
                <w:sz w:val="20"/>
                <w:szCs w:val="20"/>
              </w:rPr>
              <w:t>%</w:t>
            </w:r>
          </w:p>
        </w:tc>
      </w:tr>
      <w:tr w:rsidR="008530E1" w:rsidRPr="00EE690D" w:rsidTr="00CA64D3">
        <w:trPr>
          <w:trHeight w:val="430"/>
        </w:trPr>
        <w:tc>
          <w:tcPr>
            <w:tcW w:w="1843" w:type="dxa"/>
            <w:tcBorders>
              <w:bottom w:val="single" w:sz="4" w:space="0" w:color="auto"/>
            </w:tcBorders>
            <w:vAlign w:val="center"/>
          </w:tcPr>
          <w:p w:rsidR="008530E1" w:rsidRPr="00EE690D" w:rsidRDefault="008530E1" w:rsidP="00CA64D3">
            <w:pPr>
              <w:spacing w:line="280" w:lineRule="exact"/>
              <w:rPr>
                <w:rFonts w:ascii="Times New Roman" w:hAnsi="Times New Roman"/>
                <w:b/>
                <w:bCs/>
                <w:color w:val="000000"/>
                <w:sz w:val="20"/>
                <w:szCs w:val="20"/>
              </w:rPr>
            </w:pPr>
            <w:r w:rsidRPr="00EE690D">
              <w:rPr>
                <w:rFonts w:ascii="Times New Roman" w:hAnsi="Times New Roman"/>
                <w:b/>
                <w:bCs/>
                <w:color w:val="000000"/>
                <w:sz w:val="20"/>
                <w:szCs w:val="20"/>
              </w:rPr>
              <w:t xml:space="preserve">Italia </w:t>
            </w:r>
          </w:p>
        </w:tc>
        <w:tc>
          <w:tcPr>
            <w:tcW w:w="2126" w:type="dxa"/>
            <w:tcBorders>
              <w:bottom w:val="single" w:sz="4" w:space="0" w:color="auto"/>
            </w:tcBorders>
            <w:vAlign w:val="center"/>
          </w:tcPr>
          <w:p w:rsidR="008530E1" w:rsidRPr="00EE690D" w:rsidRDefault="008530E1" w:rsidP="00CA64D3">
            <w:pPr>
              <w:spacing w:line="280" w:lineRule="exact"/>
              <w:jc w:val="center"/>
              <w:rPr>
                <w:rFonts w:ascii="Times New Roman" w:hAnsi="Times New Roman"/>
                <w:b/>
                <w:bCs/>
                <w:sz w:val="20"/>
                <w:szCs w:val="20"/>
              </w:rPr>
            </w:pPr>
            <w:r w:rsidRPr="00EE690D">
              <w:rPr>
                <w:rFonts w:ascii="Times New Roman" w:hAnsi="Times New Roman"/>
                <w:b/>
                <w:bCs/>
                <w:sz w:val="20"/>
                <w:szCs w:val="20"/>
              </w:rPr>
              <w:t>167.884.880,11</w:t>
            </w:r>
          </w:p>
        </w:tc>
        <w:tc>
          <w:tcPr>
            <w:tcW w:w="2410" w:type="dxa"/>
            <w:tcBorders>
              <w:bottom w:val="single" w:sz="4" w:space="0" w:color="auto"/>
            </w:tcBorders>
            <w:vAlign w:val="center"/>
          </w:tcPr>
          <w:p w:rsidR="008530E1" w:rsidRPr="00EE690D" w:rsidRDefault="008530E1" w:rsidP="00CA64D3">
            <w:pPr>
              <w:spacing w:line="280" w:lineRule="exact"/>
              <w:jc w:val="center"/>
              <w:rPr>
                <w:rFonts w:ascii="Times New Roman" w:hAnsi="Times New Roman"/>
                <w:b/>
                <w:bCs/>
                <w:sz w:val="20"/>
                <w:szCs w:val="20"/>
              </w:rPr>
            </w:pPr>
            <w:r>
              <w:rPr>
                <w:rFonts w:ascii="Times New Roman" w:hAnsi="Times New Roman"/>
                <w:b/>
                <w:bCs/>
                <w:sz w:val="20"/>
                <w:szCs w:val="20"/>
              </w:rPr>
              <w:t>191.399.074</w:t>
            </w:r>
            <w:r w:rsidRPr="00EE690D">
              <w:rPr>
                <w:rFonts w:ascii="Times New Roman" w:hAnsi="Times New Roman"/>
                <w:b/>
                <w:bCs/>
                <w:sz w:val="20"/>
                <w:szCs w:val="20"/>
              </w:rPr>
              <w:t>,98</w:t>
            </w:r>
          </w:p>
        </w:tc>
        <w:tc>
          <w:tcPr>
            <w:tcW w:w="2835" w:type="dxa"/>
            <w:tcBorders>
              <w:bottom w:val="single" w:sz="4" w:space="0" w:color="auto"/>
            </w:tcBorders>
            <w:vAlign w:val="center"/>
          </w:tcPr>
          <w:p w:rsidR="008530E1" w:rsidRPr="00EE690D" w:rsidRDefault="008530E1" w:rsidP="00CA64D3">
            <w:pPr>
              <w:spacing w:line="300" w:lineRule="exact"/>
              <w:jc w:val="center"/>
              <w:rPr>
                <w:rFonts w:ascii="Times New Roman" w:hAnsi="Times New Roman"/>
                <w:b/>
                <w:bCs/>
                <w:sz w:val="20"/>
                <w:szCs w:val="20"/>
              </w:rPr>
            </w:pPr>
            <w:r>
              <w:rPr>
                <w:rFonts w:ascii="Times New Roman" w:hAnsi="Times New Roman"/>
                <w:b/>
                <w:bCs/>
                <w:sz w:val="20"/>
                <w:szCs w:val="20"/>
              </w:rPr>
              <w:t>14,0</w:t>
            </w:r>
            <w:r w:rsidRPr="00EE690D">
              <w:rPr>
                <w:rFonts w:ascii="Times New Roman" w:hAnsi="Times New Roman"/>
                <w:b/>
                <w:bCs/>
                <w:sz w:val="20"/>
                <w:szCs w:val="20"/>
              </w:rPr>
              <w:t>%</w:t>
            </w:r>
          </w:p>
        </w:tc>
      </w:tr>
    </w:tbl>
    <w:p w:rsidR="008530E1" w:rsidRPr="00346EE6" w:rsidRDefault="008530E1" w:rsidP="008530E1">
      <w:pPr>
        <w:spacing w:after="120"/>
        <w:rPr>
          <w:rFonts w:ascii="Times New Roman" w:hAnsi="Times New Roman"/>
          <w:sz w:val="18"/>
          <w:szCs w:val="18"/>
        </w:rPr>
      </w:pPr>
      <w:r w:rsidRPr="00346EE6">
        <w:rPr>
          <w:rFonts w:ascii="Times New Roman" w:hAnsi="Times New Roman"/>
          <w:i/>
          <w:sz w:val="18"/>
          <w:szCs w:val="18"/>
        </w:rPr>
        <w:t>Fonte</w:t>
      </w:r>
      <w:r w:rsidRPr="00346EE6">
        <w:rPr>
          <w:rFonts w:ascii="Times New Roman" w:hAnsi="Times New Roman"/>
          <w:sz w:val="18"/>
          <w:szCs w:val="18"/>
        </w:rPr>
        <w:t>: elab</w:t>
      </w:r>
      <w:r>
        <w:rPr>
          <w:rFonts w:ascii="Times New Roman" w:hAnsi="Times New Roman"/>
          <w:sz w:val="18"/>
          <w:szCs w:val="18"/>
        </w:rPr>
        <w:t>orazione Isfol su dati delle Regioni e Province Autonome.</w:t>
      </w:r>
    </w:p>
    <w:p w:rsidR="008530E1" w:rsidRDefault="008530E1" w:rsidP="008530E1">
      <w:pPr>
        <w:spacing w:after="0" w:line="240" w:lineRule="auto"/>
        <w:jc w:val="both"/>
        <w:rPr>
          <w:rFonts w:ascii="Times New Roman" w:hAnsi="Times New Roman"/>
          <w:sz w:val="24"/>
          <w:szCs w:val="24"/>
        </w:rPr>
      </w:pPr>
    </w:p>
    <w:p w:rsidR="008530E1" w:rsidRPr="007B7623" w:rsidRDefault="008530E1" w:rsidP="008530E1">
      <w:pPr>
        <w:spacing w:after="0" w:line="240" w:lineRule="auto"/>
        <w:jc w:val="both"/>
        <w:rPr>
          <w:rFonts w:ascii="Times New Roman" w:hAnsi="Times New Roman"/>
          <w:sz w:val="24"/>
          <w:szCs w:val="24"/>
        </w:rPr>
      </w:pPr>
      <w:r w:rsidRPr="00FA3E54">
        <w:rPr>
          <w:rFonts w:ascii="Times New Roman" w:hAnsi="Times New Roman"/>
          <w:sz w:val="24"/>
          <w:szCs w:val="24"/>
        </w:rPr>
        <w:t>Il volume maggiore delle risorse</w:t>
      </w:r>
      <w:r>
        <w:rPr>
          <w:rFonts w:ascii="Times New Roman" w:hAnsi="Times New Roman"/>
          <w:sz w:val="24"/>
          <w:szCs w:val="24"/>
        </w:rPr>
        <w:t>,</w:t>
      </w:r>
      <w:r w:rsidRPr="007B7623">
        <w:rPr>
          <w:rFonts w:ascii="Times New Roman" w:hAnsi="Times New Roman"/>
          <w:sz w:val="24"/>
          <w:szCs w:val="24"/>
        </w:rPr>
        <w:t xml:space="preserve"> più di 125 milioni di euro </w:t>
      </w:r>
      <w:r>
        <w:rPr>
          <w:rFonts w:ascii="Times New Roman" w:hAnsi="Times New Roman"/>
          <w:sz w:val="24"/>
          <w:szCs w:val="24"/>
        </w:rPr>
        <w:t>(</w:t>
      </w:r>
      <w:r w:rsidRPr="00FA3E54">
        <w:rPr>
          <w:rFonts w:ascii="Times New Roman" w:hAnsi="Times New Roman"/>
          <w:sz w:val="24"/>
          <w:szCs w:val="24"/>
        </w:rPr>
        <w:t>68,2%</w:t>
      </w:r>
      <w:r>
        <w:rPr>
          <w:rFonts w:ascii="Times New Roman" w:hAnsi="Times New Roman"/>
          <w:sz w:val="24"/>
          <w:szCs w:val="24"/>
        </w:rPr>
        <w:t>), è stato impegnato</w:t>
      </w:r>
      <w:r w:rsidRPr="007B7623">
        <w:rPr>
          <w:rFonts w:ascii="Times New Roman" w:hAnsi="Times New Roman"/>
          <w:sz w:val="24"/>
          <w:szCs w:val="24"/>
        </w:rPr>
        <w:t xml:space="preserve"> </w:t>
      </w:r>
      <w:r>
        <w:rPr>
          <w:rFonts w:ascii="Times New Roman" w:hAnsi="Times New Roman"/>
          <w:sz w:val="24"/>
          <w:szCs w:val="24"/>
        </w:rPr>
        <w:t>dalle amministrazioni</w:t>
      </w:r>
      <w:r w:rsidRPr="007B7623">
        <w:rPr>
          <w:rFonts w:ascii="Times New Roman" w:hAnsi="Times New Roman"/>
          <w:sz w:val="24"/>
          <w:szCs w:val="24"/>
        </w:rPr>
        <w:t xml:space="preserve"> del Nord, con un peso maggiore per i territori del </w:t>
      </w:r>
      <w:r w:rsidRPr="00521197">
        <w:rPr>
          <w:rFonts w:ascii="Times New Roman" w:hAnsi="Times New Roman"/>
          <w:sz w:val="24"/>
          <w:szCs w:val="24"/>
        </w:rPr>
        <w:t>Nord Est</w:t>
      </w:r>
      <w:r>
        <w:rPr>
          <w:rFonts w:ascii="Times New Roman" w:hAnsi="Times New Roman"/>
          <w:sz w:val="24"/>
          <w:szCs w:val="24"/>
        </w:rPr>
        <w:t>, il Centro con quasi 24 milioni di euro copre il 13% del totale degli impegni, mentre le Regioni del Sud sfiorano il 19% con oltre 34 milioni di euro.</w:t>
      </w:r>
      <w:r w:rsidRPr="007B7623">
        <w:rPr>
          <w:rFonts w:ascii="Times New Roman" w:hAnsi="Times New Roman"/>
          <w:sz w:val="24"/>
          <w:szCs w:val="24"/>
        </w:rPr>
        <w:t xml:space="preserve"> </w:t>
      </w:r>
    </w:p>
    <w:p w:rsidR="008530E1" w:rsidRPr="00FA3E54" w:rsidRDefault="008530E1" w:rsidP="008530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Rispetto al 2010 l’incremento più consistente si registra nel Nord-Ovest (30%), dove le Regioni Lombardia e Liguria hanno stanziato quote più consistenti nel corso del 2011</w:t>
      </w:r>
      <w:r w:rsidRPr="00FA3E54">
        <w:rPr>
          <w:rStyle w:val="Rimandonotaapidipagina"/>
          <w:rFonts w:ascii="Times New Roman" w:hAnsi="Times New Roman"/>
          <w:sz w:val="24"/>
          <w:szCs w:val="24"/>
        </w:rPr>
        <w:footnoteReference w:id="9"/>
      </w:r>
      <w:r>
        <w:rPr>
          <w:rFonts w:ascii="Times New Roman" w:hAnsi="Times New Roman"/>
          <w:sz w:val="24"/>
          <w:szCs w:val="24"/>
        </w:rPr>
        <w:t>. L’area del Nord-est, invece, registra un lieve decremento rispetto all’anno precedente (-1,9%),   pur mantenendo la quota più alta di impegni, per lo più dovuta alla scelta de</w:t>
      </w:r>
      <w:r w:rsidRPr="00521197">
        <w:rPr>
          <w:rFonts w:ascii="Times New Roman" w:hAnsi="Times New Roman"/>
          <w:sz w:val="24"/>
          <w:szCs w:val="24"/>
        </w:rPr>
        <w:t>ll’Emilia Romagna</w:t>
      </w:r>
      <w:r>
        <w:rPr>
          <w:rFonts w:ascii="Times New Roman" w:hAnsi="Times New Roman"/>
          <w:sz w:val="24"/>
          <w:szCs w:val="24"/>
        </w:rPr>
        <w:t>,</w:t>
      </w:r>
      <w:r w:rsidRPr="00521197">
        <w:rPr>
          <w:rFonts w:ascii="Times New Roman" w:hAnsi="Times New Roman"/>
          <w:sz w:val="24"/>
          <w:szCs w:val="24"/>
        </w:rPr>
        <w:t xml:space="preserve"> che, nel </w:t>
      </w:r>
      <w:smartTag w:uri="urn:schemas-microsoft-com:office:smarttags" w:element="metricconverter">
        <w:smartTagPr>
          <w:attr w:name="ProductID" w:val="2011, ha"/>
        </w:smartTagPr>
        <w:r w:rsidRPr="00521197">
          <w:rPr>
            <w:rFonts w:ascii="Times New Roman" w:hAnsi="Times New Roman"/>
            <w:sz w:val="24"/>
            <w:szCs w:val="24"/>
          </w:rPr>
          <w:t>2011</w:t>
        </w:r>
        <w:r>
          <w:rPr>
            <w:rFonts w:ascii="Times New Roman" w:hAnsi="Times New Roman"/>
            <w:sz w:val="24"/>
            <w:szCs w:val="24"/>
          </w:rPr>
          <w:t>,</w:t>
        </w:r>
        <w:r w:rsidRPr="00521197">
          <w:rPr>
            <w:rFonts w:ascii="Times New Roman" w:hAnsi="Times New Roman"/>
            <w:sz w:val="24"/>
            <w:szCs w:val="24"/>
          </w:rPr>
          <w:t xml:space="preserve"> ha</w:t>
        </w:r>
      </w:smartTag>
      <w:r w:rsidRPr="00521197">
        <w:rPr>
          <w:rFonts w:ascii="Times New Roman" w:hAnsi="Times New Roman"/>
          <w:sz w:val="24"/>
          <w:szCs w:val="24"/>
        </w:rPr>
        <w:t xml:space="preserve"> quasi triplicato gli stanziamenti rispetto all’anno </w:t>
      </w:r>
      <w:r>
        <w:rPr>
          <w:rFonts w:ascii="Times New Roman" w:hAnsi="Times New Roman"/>
          <w:sz w:val="24"/>
          <w:szCs w:val="24"/>
        </w:rPr>
        <w:t>precedente.</w:t>
      </w:r>
      <w:r w:rsidRPr="00521197">
        <w:rPr>
          <w:rFonts w:ascii="Times New Roman" w:hAnsi="Times New Roman"/>
          <w:sz w:val="24"/>
          <w:szCs w:val="24"/>
        </w:rPr>
        <w:t xml:space="preserve"> </w:t>
      </w:r>
      <w:r>
        <w:rPr>
          <w:rFonts w:ascii="Times New Roman" w:hAnsi="Times New Roman"/>
          <w:sz w:val="24"/>
          <w:szCs w:val="24"/>
        </w:rPr>
        <w:t>Una variazione positiva significativa si registra</w:t>
      </w:r>
      <w:r w:rsidRPr="00FA3E54">
        <w:rPr>
          <w:rFonts w:ascii="Times New Roman" w:hAnsi="Times New Roman"/>
          <w:sz w:val="24"/>
          <w:szCs w:val="24"/>
        </w:rPr>
        <w:t xml:space="preserve"> </w:t>
      </w:r>
      <w:r>
        <w:rPr>
          <w:rFonts w:ascii="Times New Roman" w:hAnsi="Times New Roman"/>
          <w:sz w:val="24"/>
          <w:szCs w:val="24"/>
        </w:rPr>
        <w:t>anche per i</w:t>
      </w:r>
      <w:r w:rsidRPr="00FA3E54">
        <w:rPr>
          <w:rFonts w:ascii="Times New Roman" w:hAnsi="Times New Roman"/>
          <w:sz w:val="24"/>
          <w:szCs w:val="24"/>
        </w:rPr>
        <w:t xml:space="preserve">l Centro (17,7%), dove tutte le </w:t>
      </w:r>
      <w:r>
        <w:rPr>
          <w:rFonts w:ascii="Times New Roman" w:hAnsi="Times New Roman"/>
          <w:sz w:val="24"/>
          <w:szCs w:val="24"/>
        </w:rPr>
        <w:t>Regioni, ad eccezione del Lazio.</w:t>
      </w:r>
      <w:r w:rsidRPr="00FA3E54">
        <w:rPr>
          <w:rFonts w:ascii="Times New Roman" w:hAnsi="Times New Roman"/>
          <w:sz w:val="24"/>
          <w:szCs w:val="24"/>
        </w:rPr>
        <w:t xml:space="preserve"> </w:t>
      </w:r>
      <w:r w:rsidRPr="007041CE">
        <w:rPr>
          <w:rFonts w:ascii="Times New Roman" w:hAnsi="Times New Roman"/>
          <w:sz w:val="24"/>
          <w:szCs w:val="24"/>
        </w:rPr>
        <w:t>Tuttavia, la variazione positiva più significativa viene registrata nel Sud (22,9%), i dati disponibili, infatti, mostrano una decisa scelta delle Regioni Abruzzo, Puglia e Sardegna ad aumentare le risorse in modo rilevante rispetto alle annualità precedenti.</w:t>
      </w:r>
      <w:r w:rsidRPr="00FA3E54">
        <w:rPr>
          <w:rFonts w:ascii="Times New Roman" w:hAnsi="Times New Roman"/>
          <w:sz w:val="24"/>
          <w:szCs w:val="24"/>
        </w:rPr>
        <w:t xml:space="preserve"> </w:t>
      </w: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Pr="005A19CD" w:rsidRDefault="008530E1" w:rsidP="008530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Nel 2011 </w:t>
      </w:r>
      <w:r w:rsidRPr="00FA3E54">
        <w:rPr>
          <w:rFonts w:ascii="Times New Roman" w:hAnsi="Times New Roman"/>
          <w:sz w:val="24"/>
          <w:szCs w:val="24"/>
        </w:rPr>
        <w:t>le risorse nazionali, che continuano a rappresentare la fonte di</w:t>
      </w:r>
      <w:r>
        <w:rPr>
          <w:rFonts w:ascii="Times New Roman" w:hAnsi="Times New Roman"/>
          <w:sz w:val="24"/>
          <w:szCs w:val="24"/>
        </w:rPr>
        <w:t xml:space="preserve"> finanziamento prevalente, costituiscono il </w:t>
      </w:r>
      <w:r w:rsidRPr="005A19CD">
        <w:rPr>
          <w:rFonts w:ascii="Times New Roman" w:hAnsi="Times New Roman"/>
          <w:sz w:val="24"/>
          <w:szCs w:val="24"/>
        </w:rPr>
        <w:t>68,9% del totale degli impegni, con un incremento di oltre 9 punti percentuali rispetto all’anno precedente</w:t>
      </w:r>
      <w:r w:rsidRPr="005A19CD">
        <w:rPr>
          <w:rStyle w:val="Rimandonotaapidipagina"/>
          <w:rFonts w:ascii="Times New Roman" w:hAnsi="Times New Roman"/>
          <w:sz w:val="24"/>
          <w:szCs w:val="24"/>
        </w:rPr>
        <w:footnoteReference w:id="10"/>
      </w:r>
      <w:r w:rsidRPr="005A19CD">
        <w:rPr>
          <w:rFonts w:ascii="Times New Roman" w:hAnsi="Times New Roman"/>
          <w:sz w:val="24"/>
          <w:szCs w:val="24"/>
        </w:rPr>
        <w:t xml:space="preserve">. Alcune Amministrazioni fanno ricorso ad una un’unica fonte di finanziamento: le risorse nazionali sono utilizzate in via esclusiva in Valle d’Aosta, Lombardia, Veneto, Umbria, Lazio, Abruzzo, Campania e Sicilia; mentre </w:t>
      </w:r>
      <w:smartTag w:uri="urn:schemas-microsoft-com:office:smarttags" w:element="PersonName">
        <w:smartTagPr>
          <w:attr w:name="ProductID" w:val="la Liguria"/>
        </w:smartTagPr>
        <w:r w:rsidRPr="005A19CD">
          <w:rPr>
            <w:rFonts w:ascii="Times New Roman" w:hAnsi="Times New Roman"/>
            <w:sz w:val="24"/>
            <w:szCs w:val="24"/>
          </w:rPr>
          <w:t>la Liguria</w:t>
        </w:r>
      </w:smartTag>
      <w:r w:rsidRPr="005A19CD">
        <w:rPr>
          <w:rFonts w:ascii="Times New Roman" w:hAnsi="Times New Roman"/>
          <w:sz w:val="24"/>
          <w:szCs w:val="24"/>
        </w:rPr>
        <w:t xml:space="preserve"> è l’unica Regione ad utilizzare solo le risorse del Programma Operativo Regionale. Altri territori adottano una formula mista di finanziamento, utilizzando, oltre alle risorse nazionali, anche risorse del POR (Piemonte, Friuli Venezia Giulia, Marche, Emilia Romagna) o risorse proprie (Toscana, Molise e Puglia).</w:t>
      </w:r>
    </w:p>
    <w:p w:rsidR="008530E1" w:rsidRPr="005A19CD" w:rsidRDefault="008530E1" w:rsidP="008530E1">
      <w:pPr>
        <w:autoSpaceDE w:val="0"/>
        <w:autoSpaceDN w:val="0"/>
        <w:adjustRightInd w:val="0"/>
        <w:spacing w:after="0" w:line="240" w:lineRule="auto"/>
        <w:jc w:val="both"/>
        <w:rPr>
          <w:rFonts w:ascii="Times New Roman" w:hAnsi="Times New Roman"/>
          <w:sz w:val="24"/>
          <w:szCs w:val="24"/>
        </w:rPr>
      </w:pPr>
    </w:p>
    <w:p w:rsidR="008530E1" w:rsidRPr="00FA3E54" w:rsidRDefault="008530E1" w:rsidP="008530E1">
      <w:pPr>
        <w:autoSpaceDE w:val="0"/>
        <w:autoSpaceDN w:val="0"/>
        <w:adjustRightInd w:val="0"/>
        <w:spacing w:after="0" w:line="240" w:lineRule="auto"/>
        <w:jc w:val="both"/>
        <w:rPr>
          <w:rFonts w:ascii="Times New Roman" w:hAnsi="Times New Roman"/>
          <w:sz w:val="24"/>
          <w:szCs w:val="24"/>
        </w:rPr>
      </w:pPr>
      <w:r w:rsidRPr="005A19CD">
        <w:rPr>
          <w:rFonts w:ascii="Times New Roman" w:hAnsi="Times New Roman"/>
          <w:sz w:val="24"/>
          <w:szCs w:val="24"/>
        </w:rPr>
        <w:lastRenderedPageBreak/>
        <w:t>L’80% delle risorse stanziate nel 2011 sono destinate alle attività in apprendistato professionalizzante, con una variazione positiva rispetto all’anno precedente di circa sei punti percentuali</w:t>
      </w:r>
      <w:r w:rsidRPr="005A19CD">
        <w:rPr>
          <w:rStyle w:val="Rimandonotaapidipagina"/>
          <w:rFonts w:ascii="Times New Roman" w:hAnsi="Times New Roman"/>
          <w:sz w:val="24"/>
          <w:szCs w:val="24"/>
        </w:rPr>
        <w:footnoteReference w:id="11"/>
      </w:r>
      <w:r w:rsidRPr="005A19CD">
        <w:rPr>
          <w:rFonts w:ascii="Times New Roman" w:hAnsi="Times New Roman"/>
          <w:sz w:val="24"/>
          <w:szCs w:val="24"/>
        </w:rPr>
        <w:t>. Continuano a rimanere residuali i finanziamenti per le altre tipologie: l’apprendistato per il diritto-dovere, infatti, ha trovato attuazione solo nella regione Lombardia, mentre negli altri territori gli apprendisti minori continuano ad</w:t>
      </w:r>
      <w:r>
        <w:rPr>
          <w:rFonts w:ascii="Times New Roman" w:hAnsi="Times New Roman"/>
          <w:sz w:val="24"/>
          <w:szCs w:val="24"/>
        </w:rPr>
        <w:t xml:space="preserve"> essere assunti in base</w:t>
      </w:r>
      <w:r w:rsidRPr="005A19CD">
        <w:rPr>
          <w:rFonts w:ascii="Times New Roman" w:hAnsi="Times New Roman"/>
          <w:sz w:val="24"/>
          <w:szCs w:val="24"/>
        </w:rPr>
        <w:t xml:space="preserve"> alla legge n. 196/97; l’apprendistato in alta formazione, invece, pur rappresentando soltanto il 3,7% del</w:t>
      </w:r>
      <w:r w:rsidRPr="00FA3E54">
        <w:rPr>
          <w:rFonts w:ascii="Times New Roman" w:hAnsi="Times New Roman"/>
          <w:sz w:val="24"/>
          <w:szCs w:val="24"/>
        </w:rPr>
        <w:t xml:space="preserve"> totale degli impegni, registra un </w:t>
      </w:r>
      <w:r>
        <w:rPr>
          <w:rFonts w:ascii="Times New Roman" w:hAnsi="Times New Roman"/>
          <w:sz w:val="24"/>
          <w:szCs w:val="24"/>
        </w:rPr>
        <w:t xml:space="preserve">incremento </w:t>
      </w:r>
      <w:r w:rsidRPr="00FA3E54">
        <w:rPr>
          <w:rFonts w:ascii="Times New Roman" w:hAnsi="Times New Roman"/>
          <w:sz w:val="24"/>
          <w:szCs w:val="24"/>
        </w:rPr>
        <w:t>rispetto all’anno precedente</w:t>
      </w:r>
      <w:r>
        <w:rPr>
          <w:rFonts w:ascii="Times New Roman" w:hAnsi="Times New Roman"/>
          <w:sz w:val="24"/>
          <w:szCs w:val="24"/>
        </w:rPr>
        <w:t xml:space="preserve"> (nel 2010 le risorse impegnate erano pari al 2,7%)</w:t>
      </w:r>
      <w:r w:rsidRPr="00EF101C">
        <w:rPr>
          <w:rFonts w:ascii="Times New Roman" w:hAnsi="Times New Roman"/>
          <w:sz w:val="24"/>
          <w:szCs w:val="24"/>
        </w:rPr>
        <w:t>, prevalentemente dovuto alle</w:t>
      </w:r>
      <w:r>
        <w:rPr>
          <w:rFonts w:ascii="Times New Roman" w:hAnsi="Times New Roman"/>
          <w:sz w:val="24"/>
          <w:szCs w:val="24"/>
        </w:rPr>
        <w:t xml:space="preserve"> scelte delle Regioni Lombardia e Emilia Romagna</w:t>
      </w:r>
      <w:r w:rsidRPr="00EF101C">
        <w:rPr>
          <w:rFonts w:ascii="Times New Roman" w:hAnsi="Times New Roman"/>
          <w:sz w:val="24"/>
          <w:szCs w:val="24"/>
        </w:rPr>
        <w:t xml:space="preserve"> di proseguire le sperimentazioni già avviate o di intraprenderne di nuove. Le attività extra formative, o</w:t>
      </w:r>
      <w:r w:rsidRPr="00FA3E54">
        <w:rPr>
          <w:rFonts w:ascii="Times New Roman" w:hAnsi="Times New Roman"/>
          <w:sz w:val="24"/>
          <w:szCs w:val="24"/>
        </w:rPr>
        <w:t xml:space="preserve">ssia le azioni di sistema, invece, vedono una </w:t>
      </w:r>
      <w:r>
        <w:rPr>
          <w:rFonts w:ascii="Times New Roman" w:hAnsi="Times New Roman"/>
          <w:sz w:val="24"/>
          <w:szCs w:val="24"/>
        </w:rPr>
        <w:t xml:space="preserve">significativa </w:t>
      </w:r>
      <w:r w:rsidRPr="00FA3E54">
        <w:rPr>
          <w:rFonts w:ascii="Times New Roman" w:hAnsi="Times New Roman"/>
          <w:sz w:val="24"/>
          <w:szCs w:val="24"/>
        </w:rPr>
        <w:t>riduzione degli stanziamenti</w:t>
      </w:r>
      <w:r>
        <w:rPr>
          <w:rFonts w:ascii="Times New Roman" w:hAnsi="Times New Roman"/>
          <w:sz w:val="24"/>
          <w:szCs w:val="24"/>
        </w:rPr>
        <w:t xml:space="preserve">, che  passano dal 6,3% del 2010 all’1,8% del 2011. </w:t>
      </w:r>
    </w:p>
    <w:p w:rsidR="008530E1" w:rsidRDefault="008530E1" w:rsidP="008530E1">
      <w:pPr>
        <w:autoSpaceDE w:val="0"/>
        <w:autoSpaceDN w:val="0"/>
        <w:adjustRightInd w:val="0"/>
        <w:spacing w:after="0" w:line="240" w:lineRule="auto"/>
        <w:jc w:val="both"/>
        <w:rPr>
          <w:rFonts w:ascii="Tahoma" w:hAnsi="Tahoma" w:cs="Tahoma"/>
        </w:rPr>
      </w:pPr>
    </w:p>
    <w:p w:rsidR="008530E1" w:rsidRDefault="008530E1" w:rsidP="008530E1">
      <w:pPr>
        <w:autoSpaceDE w:val="0"/>
        <w:autoSpaceDN w:val="0"/>
        <w:adjustRightInd w:val="0"/>
        <w:spacing w:after="0" w:line="240" w:lineRule="auto"/>
        <w:jc w:val="both"/>
        <w:rPr>
          <w:rFonts w:ascii="Times New Roman" w:hAnsi="Times New Roman"/>
          <w:sz w:val="24"/>
          <w:szCs w:val="24"/>
        </w:rPr>
      </w:pPr>
      <w:r w:rsidRPr="00FA3E54">
        <w:rPr>
          <w:rFonts w:ascii="Times New Roman" w:hAnsi="Times New Roman"/>
          <w:sz w:val="24"/>
          <w:szCs w:val="24"/>
        </w:rPr>
        <w:t>Nel 2011 la spesa complessiva delle amministrazioni</w:t>
      </w:r>
      <w:r>
        <w:rPr>
          <w:rFonts w:ascii="Times New Roman" w:hAnsi="Times New Roman"/>
          <w:sz w:val="24"/>
          <w:szCs w:val="24"/>
        </w:rPr>
        <w:t xml:space="preserve"> supera i 120 milioni di euro</w:t>
      </w:r>
      <w:r w:rsidRPr="00FA3E54">
        <w:rPr>
          <w:rFonts w:ascii="Times New Roman" w:hAnsi="Times New Roman"/>
          <w:sz w:val="24"/>
          <w:szCs w:val="24"/>
        </w:rPr>
        <w:t xml:space="preserve"> </w:t>
      </w:r>
      <w:r w:rsidRPr="005434B0">
        <w:rPr>
          <w:rFonts w:ascii="Times New Roman" w:hAnsi="Times New Roman"/>
          <w:sz w:val="24"/>
          <w:szCs w:val="24"/>
        </w:rPr>
        <w:t>(</w:t>
      </w:r>
      <w:r>
        <w:rPr>
          <w:rFonts w:ascii="Times New Roman" w:hAnsi="Times New Roman"/>
          <w:sz w:val="24"/>
          <w:szCs w:val="24"/>
        </w:rPr>
        <w:t>cfr. tab. 33</w:t>
      </w:r>
      <w:r w:rsidRPr="00534D79">
        <w:rPr>
          <w:rFonts w:ascii="Times New Roman" w:hAnsi="Times New Roman"/>
          <w:sz w:val="24"/>
          <w:szCs w:val="24"/>
        </w:rPr>
        <w:t>),</w:t>
      </w:r>
      <w:r w:rsidRPr="005434B0">
        <w:rPr>
          <w:rFonts w:ascii="Times New Roman" w:hAnsi="Times New Roman"/>
          <w:sz w:val="24"/>
          <w:szCs w:val="24"/>
        </w:rPr>
        <w:t xml:space="preserve"> ovvero oltre il 62% del totale degli impegni assunti. Il volume maggiore si concentra nelle regioni del Nord, che registrano un incremento rispetto all’anno precedente pari al 20,4%: l’aumento della spesa interessa, tuttavia, i soli territori dell’area occidentale. Rimane sostanzialmente stabile</w:t>
      </w:r>
      <w:r w:rsidRPr="00FA3E54">
        <w:rPr>
          <w:rFonts w:ascii="Times New Roman" w:hAnsi="Times New Roman"/>
          <w:sz w:val="24"/>
          <w:szCs w:val="24"/>
        </w:rPr>
        <w:t xml:space="preserve"> il livello della spesa per il Centro</w:t>
      </w:r>
      <w:r w:rsidRPr="007F18AB">
        <w:rPr>
          <w:rFonts w:ascii="Times New Roman" w:hAnsi="Times New Roman"/>
          <w:sz w:val="24"/>
          <w:szCs w:val="24"/>
        </w:rPr>
        <w:t>,</w:t>
      </w:r>
      <w:r w:rsidRPr="00FA3E54">
        <w:rPr>
          <w:rFonts w:ascii="Times New Roman" w:hAnsi="Times New Roman"/>
          <w:sz w:val="24"/>
          <w:szCs w:val="24"/>
        </w:rPr>
        <w:t xml:space="preserve"> mentre per le Regi</w:t>
      </w:r>
      <w:r>
        <w:rPr>
          <w:rFonts w:ascii="Times New Roman" w:hAnsi="Times New Roman"/>
          <w:sz w:val="24"/>
          <w:szCs w:val="24"/>
        </w:rPr>
        <w:t>oni del Sud</w:t>
      </w:r>
      <w:r w:rsidRPr="00FA3E54">
        <w:rPr>
          <w:rFonts w:ascii="Times New Roman" w:hAnsi="Times New Roman"/>
          <w:sz w:val="24"/>
          <w:szCs w:val="24"/>
        </w:rPr>
        <w:t xml:space="preserve"> </w:t>
      </w:r>
      <w:r>
        <w:rPr>
          <w:rFonts w:ascii="Times New Roman" w:hAnsi="Times New Roman"/>
          <w:sz w:val="24"/>
          <w:szCs w:val="24"/>
        </w:rPr>
        <w:t>si</w:t>
      </w:r>
      <w:r w:rsidRPr="00FA3E54">
        <w:rPr>
          <w:rFonts w:ascii="Times New Roman" w:hAnsi="Times New Roman"/>
          <w:sz w:val="24"/>
          <w:szCs w:val="24"/>
        </w:rPr>
        <w:t xml:space="preserve"> registran</w:t>
      </w:r>
      <w:r>
        <w:rPr>
          <w:rFonts w:ascii="Times New Roman" w:hAnsi="Times New Roman"/>
          <w:sz w:val="24"/>
          <w:szCs w:val="24"/>
        </w:rPr>
        <w:t>o</w:t>
      </w:r>
      <w:r w:rsidRPr="00FA3E54">
        <w:rPr>
          <w:rFonts w:ascii="Times New Roman" w:hAnsi="Times New Roman"/>
          <w:sz w:val="24"/>
          <w:szCs w:val="24"/>
        </w:rPr>
        <w:t xml:space="preserve"> valori in diminuzione rispetto all’anno precedente</w:t>
      </w:r>
      <w:r>
        <w:rPr>
          <w:rStyle w:val="Rimandonotaapidipagina"/>
          <w:rFonts w:ascii="Times New Roman" w:hAnsi="Times New Roman"/>
          <w:sz w:val="24"/>
          <w:szCs w:val="24"/>
        </w:rPr>
        <w:footnoteReference w:id="12"/>
      </w:r>
      <w:r w:rsidRPr="00FA3E54">
        <w:rPr>
          <w:rFonts w:ascii="Times New Roman" w:hAnsi="Times New Roman"/>
          <w:sz w:val="24"/>
          <w:szCs w:val="24"/>
        </w:rPr>
        <w:t xml:space="preserve">.  </w:t>
      </w: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Pr="00FA3E54" w:rsidRDefault="008530E1" w:rsidP="008530E1">
      <w:pPr>
        <w:autoSpaceDE w:val="0"/>
        <w:autoSpaceDN w:val="0"/>
        <w:adjustRightInd w:val="0"/>
        <w:spacing w:after="0" w:line="240" w:lineRule="auto"/>
        <w:jc w:val="both"/>
        <w:rPr>
          <w:rFonts w:ascii="Times New Roman" w:hAnsi="Times New Roman"/>
          <w:sz w:val="24"/>
          <w:szCs w:val="24"/>
        </w:rPr>
      </w:pPr>
    </w:p>
    <w:p w:rsidR="008530E1" w:rsidRDefault="008530E1" w:rsidP="008530E1">
      <w:pPr>
        <w:autoSpaceDE w:val="0"/>
        <w:autoSpaceDN w:val="0"/>
        <w:adjustRightInd w:val="0"/>
        <w:spacing w:after="0" w:line="240" w:lineRule="auto"/>
        <w:jc w:val="both"/>
        <w:rPr>
          <w:rFonts w:ascii="Times New Roman" w:hAnsi="Times New Roman"/>
          <w:b/>
        </w:rPr>
      </w:pPr>
      <w:r w:rsidRPr="00534D79">
        <w:rPr>
          <w:rFonts w:ascii="Times New Roman" w:hAnsi="Times New Roman"/>
          <w:b/>
        </w:rPr>
        <w:t>Tabella</w:t>
      </w:r>
      <w:r>
        <w:rPr>
          <w:rFonts w:ascii="Times New Roman" w:hAnsi="Times New Roman"/>
          <w:b/>
        </w:rPr>
        <w:t xml:space="preserve"> 33</w:t>
      </w:r>
      <w:r w:rsidRPr="00FA3E54">
        <w:rPr>
          <w:rFonts w:ascii="Times New Roman" w:hAnsi="Times New Roman"/>
          <w:b/>
        </w:rPr>
        <w:t xml:space="preserve"> – Risorse per l’apprendistato spese </w:t>
      </w:r>
      <w:r>
        <w:rPr>
          <w:rFonts w:ascii="Times New Roman" w:hAnsi="Times New Roman"/>
          <w:b/>
        </w:rPr>
        <w:t xml:space="preserve">dalle </w:t>
      </w:r>
      <w:r w:rsidRPr="00EE690D">
        <w:rPr>
          <w:rFonts w:ascii="Times New Roman" w:hAnsi="Times New Roman"/>
          <w:b/>
        </w:rPr>
        <w:t xml:space="preserve">Regioni e </w:t>
      </w:r>
      <w:r>
        <w:rPr>
          <w:rFonts w:ascii="Times New Roman" w:hAnsi="Times New Roman"/>
          <w:b/>
        </w:rPr>
        <w:t>P.A. per formazione apprendistato -</w:t>
      </w:r>
      <w:r w:rsidRPr="00EE690D">
        <w:rPr>
          <w:rFonts w:ascii="Times New Roman" w:hAnsi="Times New Roman"/>
          <w:b/>
        </w:rPr>
        <w:t xml:space="preserve"> 2010 e 2011</w:t>
      </w:r>
      <w:r>
        <w:rPr>
          <w:rFonts w:ascii="Times New Roman" w:hAnsi="Times New Roman"/>
          <w:b/>
        </w:rPr>
        <w:t xml:space="preserve"> e capacità di spesa 2011</w:t>
      </w:r>
    </w:p>
    <w:tbl>
      <w:tblPr>
        <w:tblW w:w="0" w:type="auto"/>
        <w:tblInd w:w="70" w:type="dxa"/>
        <w:tblLayout w:type="fixed"/>
        <w:tblCellMar>
          <w:left w:w="70" w:type="dxa"/>
          <w:right w:w="70" w:type="dxa"/>
        </w:tblCellMar>
        <w:tblLook w:val="0000"/>
      </w:tblPr>
      <w:tblGrid>
        <w:gridCol w:w="1985"/>
        <w:gridCol w:w="1984"/>
        <w:gridCol w:w="1843"/>
        <w:gridCol w:w="160"/>
        <w:gridCol w:w="1701"/>
        <w:gridCol w:w="1984"/>
      </w:tblGrid>
      <w:tr w:rsidR="008530E1" w:rsidRPr="00346EE6" w:rsidTr="00CA64D3">
        <w:trPr>
          <w:trHeight w:val="309"/>
          <w:tblHeader/>
        </w:trPr>
        <w:tc>
          <w:tcPr>
            <w:tcW w:w="1985" w:type="dxa"/>
            <w:tcBorders>
              <w:top w:val="single" w:sz="4" w:space="0" w:color="auto"/>
              <w:bottom w:val="single" w:sz="4" w:space="0" w:color="auto"/>
            </w:tcBorders>
            <w:vAlign w:val="center"/>
          </w:tcPr>
          <w:p w:rsidR="008530E1" w:rsidRPr="00346EE6" w:rsidRDefault="008530E1" w:rsidP="00CA64D3">
            <w:pPr>
              <w:spacing w:after="0" w:line="240" w:lineRule="auto"/>
              <w:rPr>
                <w:rFonts w:ascii="Times New Roman" w:hAnsi="Times New Roman"/>
                <w:b/>
                <w:color w:val="000000"/>
                <w:sz w:val="20"/>
                <w:szCs w:val="20"/>
              </w:rPr>
            </w:pPr>
            <w:r w:rsidRPr="00346EE6">
              <w:rPr>
                <w:rFonts w:ascii="Times New Roman" w:hAnsi="Times New Roman"/>
                <w:b/>
                <w:color w:val="000000"/>
                <w:sz w:val="20"/>
                <w:szCs w:val="20"/>
              </w:rPr>
              <w:t>Macro-aree</w:t>
            </w:r>
          </w:p>
        </w:tc>
        <w:tc>
          <w:tcPr>
            <w:tcW w:w="1984" w:type="dxa"/>
            <w:tcBorders>
              <w:top w:val="single" w:sz="4" w:space="0" w:color="auto"/>
              <w:bottom w:val="single" w:sz="4" w:space="0" w:color="auto"/>
            </w:tcBorders>
            <w:vAlign w:val="center"/>
          </w:tcPr>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2010</w:t>
            </w:r>
          </w:p>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Valori assoluti</w:t>
            </w:r>
          </w:p>
          <w:p w:rsidR="008530E1" w:rsidRPr="00346EE6" w:rsidRDefault="008530E1" w:rsidP="00CA64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w:t>
            </w:r>
            <w:r w:rsidRPr="00346EE6">
              <w:rPr>
                <w:rFonts w:ascii="Times New Roman" w:hAnsi="Times New Roman"/>
                <w:b/>
                <w:color w:val="000000"/>
                <w:sz w:val="20"/>
                <w:szCs w:val="20"/>
              </w:rPr>
              <w:t>n migliaia di euro</w:t>
            </w:r>
            <w:r>
              <w:rPr>
                <w:rFonts w:ascii="Times New Roman" w:hAnsi="Times New Roman"/>
                <w:b/>
                <w:color w:val="000000"/>
                <w:sz w:val="20"/>
                <w:szCs w:val="20"/>
              </w:rPr>
              <w:t>)</w:t>
            </w:r>
          </w:p>
        </w:tc>
        <w:tc>
          <w:tcPr>
            <w:tcW w:w="1843" w:type="dxa"/>
            <w:tcBorders>
              <w:top w:val="single" w:sz="4" w:space="0" w:color="auto"/>
              <w:bottom w:val="single" w:sz="4" w:space="0" w:color="auto"/>
            </w:tcBorders>
            <w:vAlign w:val="center"/>
          </w:tcPr>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2011</w:t>
            </w:r>
          </w:p>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Valori assoluti</w:t>
            </w:r>
          </w:p>
          <w:p w:rsidR="008530E1" w:rsidRPr="00346EE6" w:rsidRDefault="008530E1" w:rsidP="00CA64D3">
            <w:pPr>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(i</w:t>
            </w:r>
            <w:r w:rsidRPr="00346EE6">
              <w:rPr>
                <w:rFonts w:ascii="Times New Roman" w:hAnsi="Times New Roman"/>
                <w:b/>
                <w:color w:val="000000"/>
                <w:sz w:val="20"/>
                <w:szCs w:val="20"/>
              </w:rPr>
              <w:t>n migliaia di euro</w:t>
            </w:r>
            <w:r>
              <w:rPr>
                <w:rFonts w:ascii="Times New Roman" w:hAnsi="Times New Roman"/>
                <w:b/>
                <w:color w:val="000000"/>
                <w:sz w:val="20"/>
                <w:szCs w:val="20"/>
              </w:rPr>
              <w:t>)</w:t>
            </w:r>
          </w:p>
        </w:tc>
        <w:tc>
          <w:tcPr>
            <w:tcW w:w="160" w:type="dxa"/>
            <w:tcBorders>
              <w:top w:val="single" w:sz="4" w:space="0" w:color="auto"/>
              <w:bottom w:val="single" w:sz="4" w:space="0" w:color="auto"/>
            </w:tcBorders>
            <w:vAlign w:val="center"/>
          </w:tcPr>
          <w:p w:rsidR="008530E1" w:rsidRPr="00346EE6" w:rsidRDefault="008530E1" w:rsidP="00CA64D3">
            <w:pPr>
              <w:spacing w:after="0" w:line="240" w:lineRule="auto"/>
              <w:jc w:val="center"/>
              <w:rPr>
                <w:rFonts w:ascii="Times New Roman" w:hAnsi="Times New Roman"/>
                <w:b/>
                <w:color w:val="000000"/>
                <w:sz w:val="20"/>
                <w:szCs w:val="20"/>
              </w:rPr>
            </w:pPr>
          </w:p>
        </w:tc>
        <w:tc>
          <w:tcPr>
            <w:tcW w:w="1701" w:type="dxa"/>
            <w:tcBorders>
              <w:top w:val="single" w:sz="4" w:space="0" w:color="auto"/>
              <w:bottom w:val="single" w:sz="4" w:space="0" w:color="auto"/>
            </w:tcBorders>
            <w:vAlign w:val="center"/>
          </w:tcPr>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2010/2011</w:t>
            </w:r>
          </w:p>
          <w:p w:rsidR="008530E1" w:rsidRPr="00346EE6" w:rsidRDefault="008530E1" w:rsidP="00CA64D3">
            <w:pPr>
              <w:spacing w:after="0" w:line="240" w:lineRule="auto"/>
              <w:jc w:val="center"/>
              <w:rPr>
                <w:rFonts w:ascii="Times New Roman" w:hAnsi="Times New Roman"/>
                <w:b/>
                <w:color w:val="000000"/>
                <w:sz w:val="20"/>
                <w:szCs w:val="20"/>
              </w:rPr>
            </w:pPr>
            <w:proofErr w:type="spellStart"/>
            <w:r w:rsidRPr="00346EE6">
              <w:rPr>
                <w:rFonts w:ascii="Times New Roman" w:hAnsi="Times New Roman"/>
                <w:b/>
                <w:color w:val="000000"/>
                <w:sz w:val="20"/>
                <w:szCs w:val="20"/>
              </w:rPr>
              <w:t>Variaz</w:t>
            </w:r>
            <w:proofErr w:type="spellEnd"/>
            <w:r w:rsidRPr="00346EE6">
              <w:rPr>
                <w:rFonts w:ascii="Times New Roman" w:hAnsi="Times New Roman"/>
                <w:b/>
                <w:color w:val="000000"/>
                <w:sz w:val="20"/>
                <w:szCs w:val="20"/>
              </w:rPr>
              <w:t xml:space="preserve">. % su anno precedente </w:t>
            </w:r>
          </w:p>
        </w:tc>
        <w:tc>
          <w:tcPr>
            <w:tcW w:w="1984" w:type="dxa"/>
            <w:tcBorders>
              <w:top w:val="single" w:sz="4" w:space="0" w:color="auto"/>
              <w:bottom w:val="single" w:sz="4" w:space="0" w:color="auto"/>
            </w:tcBorders>
            <w:vAlign w:val="center"/>
          </w:tcPr>
          <w:p w:rsidR="008530E1" w:rsidRPr="00346EE6" w:rsidRDefault="008530E1" w:rsidP="00CA64D3">
            <w:pPr>
              <w:spacing w:after="0" w:line="240" w:lineRule="auto"/>
              <w:jc w:val="center"/>
              <w:rPr>
                <w:rFonts w:ascii="Times New Roman" w:hAnsi="Times New Roman"/>
                <w:b/>
                <w:color w:val="000000"/>
                <w:sz w:val="20"/>
                <w:szCs w:val="20"/>
              </w:rPr>
            </w:pPr>
            <w:r w:rsidRPr="00346EE6">
              <w:rPr>
                <w:rFonts w:ascii="Times New Roman" w:hAnsi="Times New Roman"/>
                <w:b/>
                <w:color w:val="000000"/>
                <w:sz w:val="20"/>
                <w:szCs w:val="20"/>
              </w:rPr>
              <w:t>Capacità di spesa</w:t>
            </w:r>
          </w:p>
        </w:tc>
      </w:tr>
      <w:tr w:rsidR="008530E1" w:rsidRPr="00346EE6" w:rsidTr="00CA64D3">
        <w:trPr>
          <w:trHeight w:val="300"/>
        </w:trPr>
        <w:tc>
          <w:tcPr>
            <w:tcW w:w="1985" w:type="dxa"/>
            <w:tcBorders>
              <w:top w:val="single" w:sz="4" w:space="0" w:color="auto"/>
            </w:tcBorders>
            <w:vAlign w:val="bottom"/>
          </w:tcPr>
          <w:p w:rsidR="008530E1" w:rsidRPr="00346EE6" w:rsidRDefault="008530E1" w:rsidP="00CA64D3">
            <w:pPr>
              <w:spacing w:line="280" w:lineRule="exact"/>
              <w:rPr>
                <w:rFonts w:ascii="Times New Roman" w:hAnsi="Times New Roman"/>
                <w:b/>
                <w:color w:val="000000"/>
                <w:sz w:val="20"/>
                <w:szCs w:val="20"/>
              </w:rPr>
            </w:pPr>
            <w:r w:rsidRPr="00346EE6">
              <w:rPr>
                <w:rFonts w:ascii="Times New Roman" w:hAnsi="Times New Roman"/>
                <w:b/>
                <w:color w:val="000000"/>
                <w:sz w:val="20"/>
                <w:szCs w:val="20"/>
              </w:rPr>
              <w:t>Nord</w:t>
            </w:r>
          </w:p>
        </w:tc>
        <w:tc>
          <w:tcPr>
            <w:tcW w:w="1984" w:type="dxa"/>
            <w:tcBorders>
              <w:top w:val="single" w:sz="4" w:space="0" w:color="auto"/>
            </w:tcBorders>
            <w:vAlign w:val="center"/>
          </w:tcPr>
          <w:p w:rsidR="008530E1" w:rsidRPr="00346EE6" w:rsidRDefault="008530E1" w:rsidP="00CA64D3">
            <w:pPr>
              <w:spacing w:line="280" w:lineRule="exact"/>
              <w:jc w:val="center"/>
              <w:rPr>
                <w:rFonts w:ascii="Times New Roman" w:hAnsi="Times New Roman"/>
                <w:sz w:val="20"/>
                <w:szCs w:val="20"/>
              </w:rPr>
            </w:pPr>
            <w:r w:rsidRPr="00346EE6">
              <w:rPr>
                <w:rFonts w:ascii="Times New Roman" w:hAnsi="Times New Roman"/>
                <w:sz w:val="20"/>
                <w:szCs w:val="20"/>
              </w:rPr>
              <w:t>79.419.991,02</w:t>
            </w:r>
          </w:p>
        </w:tc>
        <w:tc>
          <w:tcPr>
            <w:tcW w:w="1843" w:type="dxa"/>
            <w:tcBorders>
              <w:top w:val="single" w:sz="4" w:space="0" w:color="auto"/>
            </w:tcBorders>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95.655.146,64</w:t>
            </w:r>
          </w:p>
        </w:tc>
        <w:tc>
          <w:tcPr>
            <w:tcW w:w="160" w:type="dxa"/>
            <w:tcBorders>
              <w:top w:val="single" w:sz="4" w:space="0" w:color="auto"/>
            </w:tcBorders>
            <w:vAlign w:val="center"/>
          </w:tcPr>
          <w:p w:rsidR="008530E1" w:rsidRPr="00346EE6" w:rsidRDefault="008530E1" w:rsidP="00CA64D3">
            <w:pPr>
              <w:spacing w:line="280" w:lineRule="exact"/>
              <w:jc w:val="right"/>
              <w:rPr>
                <w:rFonts w:ascii="Times New Roman" w:hAnsi="Times New Roman"/>
                <w:sz w:val="20"/>
                <w:szCs w:val="20"/>
              </w:rPr>
            </w:pPr>
          </w:p>
        </w:tc>
        <w:tc>
          <w:tcPr>
            <w:tcW w:w="1701" w:type="dxa"/>
            <w:tcBorders>
              <w:top w:val="single" w:sz="4" w:space="0" w:color="auto"/>
            </w:tcBorders>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20,4</w:t>
            </w:r>
            <w:r w:rsidRPr="00346EE6">
              <w:rPr>
                <w:rFonts w:ascii="Times New Roman" w:hAnsi="Times New Roman"/>
                <w:sz w:val="20"/>
                <w:szCs w:val="20"/>
              </w:rPr>
              <w:t>%</w:t>
            </w:r>
          </w:p>
        </w:tc>
        <w:tc>
          <w:tcPr>
            <w:tcW w:w="1984" w:type="dxa"/>
            <w:tcBorders>
              <w:top w:val="single" w:sz="4" w:space="0" w:color="auto"/>
            </w:tcBorders>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76,4</w:t>
            </w:r>
            <w:r w:rsidRPr="00346EE6">
              <w:rPr>
                <w:rFonts w:ascii="Times New Roman" w:hAnsi="Times New Roman"/>
                <w:sz w:val="20"/>
                <w:szCs w:val="20"/>
              </w:rPr>
              <w:t>%</w:t>
            </w:r>
          </w:p>
        </w:tc>
      </w:tr>
      <w:tr w:rsidR="008530E1" w:rsidRPr="00346EE6" w:rsidTr="00CA64D3">
        <w:trPr>
          <w:trHeight w:val="300"/>
        </w:trPr>
        <w:tc>
          <w:tcPr>
            <w:tcW w:w="1985" w:type="dxa"/>
            <w:vAlign w:val="bottom"/>
          </w:tcPr>
          <w:p w:rsidR="008530E1" w:rsidRPr="00346EE6" w:rsidRDefault="008530E1" w:rsidP="00CA64D3">
            <w:pPr>
              <w:spacing w:line="280" w:lineRule="exact"/>
              <w:rPr>
                <w:rFonts w:ascii="Times New Roman" w:hAnsi="Times New Roman"/>
                <w:color w:val="000000"/>
                <w:sz w:val="20"/>
                <w:szCs w:val="20"/>
              </w:rPr>
            </w:pPr>
            <w:r w:rsidRPr="00346EE6">
              <w:rPr>
                <w:rFonts w:ascii="Times New Roman" w:hAnsi="Times New Roman"/>
                <w:color w:val="000000"/>
                <w:sz w:val="20"/>
                <w:szCs w:val="20"/>
              </w:rPr>
              <w:t>Nord-Ovest</w:t>
            </w:r>
          </w:p>
        </w:tc>
        <w:tc>
          <w:tcPr>
            <w:tcW w:w="1984" w:type="dxa"/>
            <w:vAlign w:val="center"/>
          </w:tcPr>
          <w:p w:rsidR="008530E1" w:rsidRPr="00346EE6" w:rsidRDefault="008530E1" w:rsidP="00CA64D3">
            <w:pPr>
              <w:spacing w:line="280" w:lineRule="exact"/>
              <w:jc w:val="center"/>
              <w:rPr>
                <w:rFonts w:ascii="Times New Roman" w:hAnsi="Times New Roman"/>
                <w:sz w:val="20"/>
                <w:szCs w:val="20"/>
              </w:rPr>
            </w:pPr>
            <w:r w:rsidRPr="00346EE6">
              <w:rPr>
                <w:rFonts w:ascii="Times New Roman" w:hAnsi="Times New Roman"/>
                <w:sz w:val="20"/>
                <w:szCs w:val="20"/>
              </w:rPr>
              <w:t>24.808.959,61</w:t>
            </w:r>
          </w:p>
        </w:tc>
        <w:tc>
          <w:tcPr>
            <w:tcW w:w="1843"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44.389.140,14</w:t>
            </w:r>
          </w:p>
        </w:tc>
        <w:tc>
          <w:tcPr>
            <w:tcW w:w="160" w:type="dxa"/>
            <w:vAlign w:val="center"/>
          </w:tcPr>
          <w:p w:rsidR="008530E1" w:rsidRPr="00346EE6" w:rsidRDefault="008530E1" w:rsidP="00CA64D3">
            <w:pPr>
              <w:spacing w:line="280" w:lineRule="exact"/>
              <w:jc w:val="right"/>
              <w:rPr>
                <w:rFonts w:ascii="Times New Roman" w:hAnsi="Times New Roman"/>
                <w:sz w:val="20"/>
                <w:szCs w:val="20"/>
              </w:rPr>
            </w:pPr>
          </w:p>
        </w:tc>
        <w:tc>
          <w:tcPr>
            <w:tcW w:w="1701"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78,9%</w:t>
            </w:r>
          </w:p>
        </w:tc>
        <w:tc>
          <w:tcPr>
            <w:tcW w:w="1984"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76,8%</w:t>
            </w:r>
          </w:p>
        </w:tc>
      </w:tr>
      <w:tr w:rsidR="008530E1" w:rsidRPr="00346EE6" w:rsidTr="00CA64D3">
        <w:trPr>
          <w:trHeight w:val="300"/>
        </w:trPr>
        <w:tc>
          <w:tcPr>
            <w:tcW w:w="1985" w:type="dxa"/>
            <w:vAlign w:val="bottom"/>
          </w:tcPr>
          <w:p w:rsidR="008530E1" w:rsidRPr="00346EE6" w:rsidRDefault="008530E1" w:rsidP="00CA64D3">
            <w:pPr>
              <w:spacing w:line="280" w:lineRule="exact"/>
              <w:rPr>
                <w:rFonts w:ascii="Times New Roman" w:hAnsi="Times New Roman"/>
                <w:color w:val="000000"/>
                <w:sz w:val="20"/>
                <w:szCs w:val="20"/>
              </w:rPr>
            </w:pPr>
            <w:r w:rsidRPr="00346EE6">
              <w:rPr>
                <w:rFonts w:ascii="Times New Roman" w:hAnsi="Times New Roman"/>
                <w:color w:val="000000"/>
                <w:sz w:val="20"/>
                <w:szCs w:val="20"/>
              </w:rPr>
              <w:t>Nord-Est</w:t>
            </w:r>
          </w:p>
        </w:tc>
        <w:tc>
          <w:tcPr>
            <w:tcW w:w="1984" w:type="dxa"/>
            <w:vAlign w:val="center"/>
          </w:tcPr>
          <w:p w:rsidR="008530E1" w:rsidRPr="00346EE6" w:rsidRDefault="008530E1" w:rsidP="00CA64D3">
            <w:pPr>
              <w:spacing w:line="280" w:lineRule="exact"/>
              <w:jc w:val="center"/>
              <w:rPr>
                <w:rFonts w:ascii="Times New Roman" w:hAnsi="Times New Roman"/>
                <w:sz w:val="20"/>
                <w:szCs w:val="20"/>
              </w:rPr>
            </w:pPr>
            <w:r w:rsidRPr="00346EE6">
              <w:rPr>
                <w:rFonts w:ascii="Times New Roman" w:hAnsi="Times New Roman"/>
                <w:sz w:val="20"/>
                <w:szCs w:val="20"/>
              </w:rPr>
              <w:t>54.611.031,41</w:t>
            </w:r>
          </w:p>
        </w:tc>
        <w:tc>
          <w:tcPr>
            <w:tcW w:w="1843" w:type="dxa"/>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51.266.006,50</w:t>
            </w:r>
          </w:p>
        </w:tc>
        <w:tc>
          <w:tcPr>
            <w:tcW w:w="160" w:type="dxa"/>
            <w:vAlign w:val="center"/>
          </w:tcPr>
          <w:p w:rsidR="008530E1" w:rsidRPr="00346EE6" w:rsidRDefault="008530E1" w:rsidP="00CA64D3">
            <w:pPr>
              <w:spacing w:line="280" w:lineRule="exact"/>
              <w:jc w:val="right"/>
              <w:rPr>
                <w:rFonts w:ascii="Times New Roman" w:hAnsi="Times New Roman"/>
                <w:sz w:val="20"/>
                <w:szCs w:val="20"/>
              </w:rPr>
            </w:pPr>
          </w:p>
        </w:tc>
        <w:tc>
          <w:tcPr>
            <w:tcW w:w="1701"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w:t>
            </w:r>
            <w:r>
              <w:rPr>
                <w:rFonts w:ascii="Times New Roman" w:hAnsi="Times New Roman"/>
                <w:sz w:val="20"/>
                <w:szCs w:val="20"/>
              </w:rPr>
              <w:t>6</w:t>
            </w:r>
            <w:r w:rsidRPr="00346EE6">
              <w:rPr>
                <w:rFonts w:ascii="Times New Roman" w:hAnsi="Times New Roman"/>
                <w:sz w:val="20"/>
                <w:szCs w:val="20"/>
              </w:rPr>
              <w:t>,1%</w:t>
            </w:r>
          </w:p>
        </w:tc>
        <w:tc>
          <w:tcPr>
            <w:tcW w:w="1984" w:type="dxa"/>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76,0</w:t>
            </w:r>
            <w:r w:rsidRPr="00346EE6">
              <w:rPr>
                <w:rFonts w:ascii="Times New Roman" w:hAnsi="Times New Roman"/>
                <w:sz w:val="20"/>
                <w:szCs w:val="20"/>
              </w:rPr>
              <w:t>%</w:t>
            </w:r>
          </w:p>
        </w:tc>
      </w:tr>
      <w:tr w:rsidR="008530E1" w:rsidRPr="00346EE6" w:rsidTr="00CA64D3">
        <w:trPr>
          <w:trHeight w:val="300"/>
        </w:trPr>
        <w:tc>
          <w:tcPr>
            <w:tcW w:w="1985" w:type="dxa"/>
            <w:vAlign w:val="bottom"/>
          </w:tcPr>
          <w:p w:rsidR="008530E1" w:rsidRPr="00346EE6" w:rsidRDefault="008530E1" w:rsidP="00CA64D3">
            <w:pPr>
              <w:spacing w:line="280" w:lineRule="exact"/>
              <w:rPr>
                <w:rFonts w:ascii="Times New Roman" w:hAnsi="Times New Roman"/>
                <w:b/>
                <w:color w:val="000000"/>
                <w:sz w:val="20"/>
                <w:szCs w:val="20"/>
              </w:rPr>
            </w:pPr>
            <w:r w:rsidRPr="00346EE6">
              <w:rPr>
                <w:rFonts w:ascii="Times New Roman" w:hAnsi="Times New Roman"/>
                <w:b/>
                <w:color w:val="000000"/>
                <w:sz w:val="20"/>
                <w:szCs w:val="20"/>
              </w:rPr>
              <w:t>Centro</w:t>
            </w:r>
          </w:p>
        </w:tc>
        <w:tc>
          <w:tcPr>
            <w:tcW w:w="1984" w:type="dxa"/>
            <w:vAlign w:val="center"/>
          </w:tcPr>
          <w:p w:rsidR="008530E1" w:rsidRPr="00346EE6" w:rsidRDefault="008530E1" w:rsidP="00CA64D3">
            <w:pPr>
              <w:spacing w:line="280" w:lineRule="exact"/>
              <w:jc w:val="center"/>
              <w:rPr>
                <w:rFonts w:ascii="Times New Roman" w:hAnsi="Times New Roman"/>
                <w:sz w:val="20"/>
                <w:szCs w:val="20"/>
              </w:rPr>
            </w:pPr>
            <w:r w:rsidRPr="00346EE6">
              <w:rPr>
                <w:rFonts w:ascii="Times New Roman" w:hAnsi="Times New Roman"/>
                <w:sz w:val="20"/>
                <w:szCs w:val="20"/>
              </w:rPr>
              <w:t>10.073.020,34</w:t>
            </w:r>
          </w:p>
        </w:tc>
        <w:tc>
          <w:tcPr>
            <w:tcW w:w="1843"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10.853.581,16</w:t>
            </w:r>
          </w:p>
        </w:tc>
        <w:tc>
          <w:tcPr>
            <w:tcW w:w="160" w:type="dxa"/>
            <w:vAlign w:val="center"/>
          </w:tcPr>
          <w:p w:rsidR="008530E1" w:rsidRPr="00346EE6" w:rsidRDefault="008530E1" w:rsidP="00CA64D3">
            <w:pPr>
              <w:spacing w:line="280" w:lineRule="exact"/>
              <w:jc w:val="right"/>
              <w:rPr>
                <w:rFonts w:ascii="Times New Roman" w:hAnsi="Times New Roman"/>
                <w:sz w:val="20"/>
                <w:szCs w:val="20"/>
              </w:rPr>
            </w:pPr>
          </w:p>
        </w:tc>
        <w:tc>
          <w:tcPr>
            <w:tcW w:w="1701"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7,7%</w:t>
            </w:r>
          </w:p>
        </w:tc>
        <w:tc>
          <w:tcPr>
            <w:tcW w:w="1984"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45,5%</w:t>
            </w:r>
          </w:p>
        </w:tc>
      </w:tr>
      <w:tr w:rsidR="008530E1" w:rsidRPr="00346EE6" w:rsidTr="00CA64D3">
        <w:trPr>
          <w:trHeight w:val="300"/>
        </w:trPr>
        <w:tc>
          <w:tcPr>
            <w:tcW w:w="1985" w:type="dxa"/>
            <w:vAlign w:val="bottom"/>
          </w:tcPr>
          <w:p w:rsidR="008530E1" w:rsidRPr="00346EE6" w:rsidRDefault="008530E1" w:rsidP="00CA64D3">
            <w:pPr>
              <w:spacing w:line="280" w:lineRule="exact"/>
              <w:rPr>
                <w:rFonts w:ascii="Times New Roman" w:hAnsi="Times New Roman"/>
                <w:b/>
                <w:color w:val="000000"/>
                <w:sz w:val="20"/>
                <w:szCs w:val="20"/>
              </w:rPr>
            </w:pPr>
            <w:r w:rsidRPr="00346EE6">
              <w:rPr>
                <w:rFonts w:ascii="Times New Roman" w:hAnsi="Times New Roman"/>
                <w:b/>
                <w:color w:val="000000"/>
                <w:sz w:val="20"/>
                <w:szCs w:val="20"/>
              </w:rPr>
              <w:t>Sud</w:t>
            </w:r>
          </w:p>
        </w:tc>
        <w:tc>
          <w:tcPr>
            <w:tcW w:w="1984" w:type="dxa"/>
            <w:vAlign w:val="center"/>
          </w:tcPr>
          <w:p w:rsidR="008530E1" w:rsidRPr="00346EE6" w:rsidRDefault="008530E1" w:rsidP="00CA64D3">
            <w:pPr>
              <w:spacing w:line="280" w:lineRule="exact"/>
              <w:jc w:val="center"/>
              <w:rPr>
                <w:rFonts w:ascii="Times New Roman" w:hAnsi="Times New Roman"/>
                <w:sz w:val="20"/>
                <w:szCs w:val="20"/>
              </w:rPr>
            </w:pPr>
            <w:r w:rsidRPr="00346EE6">
              <w:rPr>
                <w:rFonts w:ascii="Times New Roman" w:hAnsi="Times New Roman"/>
                <w:sz w:val="20"/>
                <w:szCs w:val="20"/>
              </w:rPr>
              <w:t>17.172.915,30</w:t>
            </w:r>
          </w:p>
        </w:tc>
        <w:tc>
          <w:tcPr>
            <w:tcW w:w="1843" w:type="dxa"/>
            <w:vAlign w:val="center"/>
          </w:tcPr>
          <w:p w:rsidR="008530E1" w:rsidRPr="00346EE6" w:rsidRDefault="008530E1" w:rsidP="00CA64D3">
            <w:pPr>
              <w:jc w:val="center"/>
              <w:rPr>
                <w:rFonts w:ascii="Times New Roman" w:hAnsi="Times New Roman"/>
                <w:sz w:val="20"/>
                <w:szCs w:val="20"/>
              </w:rPr>
            </w:pPr>
            <w:r>
              <w:rPr>
                <w:rFonts w:ascii="Times New Roman" w:hAnsi="Times New Roman"/>
                <w:sz w:val="20"/>
                <w:szCs w:val="20"/>
              </w:rPr>
              <w:t>13.617.839,36</w:t>
            </w:r>
          </w:p>
        </w:tc>
        <w:tc>
          <w:tcPr>
            <w:tcW w:w="160" w:type="dxa"/>
            <w:vAlign w:val="center"/>
          </w:tcPr>
          <w:p w:rsidR="008530E1" w:rsidRPr="00346EE6" w:rsidRDefault="008530E1" w:rsidP="00CA64D3">
            <w:pPr>
              <w:spacing w:line="280" w:lineRule="exact"/>
              <w:jc w:val="right"/>
              <w:rPr>
                <w:rFonts w:ascii="Times New Roman" w:hAnsi="Times New Roman"/>
                <w:sz w:val="20"/>
                <w:szCs w:val="20"/>
              </w:rPr>
            </w:pPr>
          </w:p>
        </w:tc>
        <w:tc>
          <w:tcPr>
            <w:tcW w:w="1701"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w:t>
            </w:r>
            <w:r>
              <w:rPr>
                <w:rFonts w:ascii="Times New Roman" w:hAnsi="Times New Roman"/>
                <w:sz w:val="20"/>
                <w:szCs w:val="20"/>
              </w:rPr>
              <w:t>20,7</w:t>
            </w:r>
            <w:r w:rsidRPr="00346EE6">
              <w:rPr>
                <w:rFonts w:ascii="Times New Roman" w:hAnsi="Times New Roman"/>
                <w:sz w:val="20"/>
                <w:szCs w:val="20"/>
              </w:rPr>
              <w:t>%</w:t>
            </w:r>
          </w:p>
        </w:tc>
        <w:tc>
          <w:tcPr>
            <w:tcW w:w="1984" w:type="dxa"/>
            <w:vAlign w:val="center"/>
          </w:tcPr>
          <w:p w:rsidR="008530E1" w:rsidRPr="00346EE6" w:rsidRDefault="008530E1" w:rsidP="00CA64D3">
            <w:pPr>
              <w:jc w:val="center"/>
              <w:rPr>
                <w:rFonts w:ascii="Times New Roman" w:hAnsi="Times New Roman"/>
                <w:sz w:val="20"/>
                <w:szCs w:val="20"/>
              </w:rPr>
            </w:pPr>
            <w:r w:rsidRPr="00346EE6">
              <w:rPr>
                <w:rFonts w:ascii="Times New Roman" w:hAnsi="Times New Roman"/>
                <w:sz w:val="20"/>
                <w:szCs w:val="20"/>
              </w:rPr>
              <w:t>3</w:t>
            </w:r>
            <w:r>
              <w:rPr>
                <w:rFonts w:ascii="Times New Roman" w:hAnsi="Times New Roman"/>
                <w:sz w:val="20"/>
                <w:szCs w:val="20"/>
              </w:rPr>
              <w:t>4</w:t>
            </w:r>
            <w:r w:rsidRPr="00346EE6">
              <w:rPr>
                <w:rFonts w:ascii="Times New Roman" w:hAnsi="Times New Roman"/>
                <w:sz w:val="20"/>
                <w:szCs w:val="20"/>
              </w:rPr>
              <w:t>,1%</w:t>
            </w:r>
          </w:p>
        </w:tc>
      </w:tr>
      <w:tr w:rsidR="008530E1" w:rsidRPr="00346EE6" w:rsidTr="00CA64D3">
        <w:trPr>
          <w:trHeight w:val="315"/>
        </w:trPr>
        <w:tc>
          <w:tcPr>
            <w:tcW w:w="1985" w:type="dxa"/>
            <w:tcBorders>
              <w:bottom w:val="single" w:sz="4" w:space="0" w:color="auto"/>
            </w:tcBorders>
            <w:vAlign w:val="bottom"/>
          </w:tcPr>
          <w:p w:rsidR="008530E1" w:rsidRPr="00346EE6" w:rsidRDefault="008530E1" w:rsidP="00CA64D3">
            <w:pPr>
              <w:spacing w:line="280" w:lineRule="exact"/>
              <w:rPr>
                <w:rFonts w:ascii="Times New Roman" w:hAnsi="Times New Roman"/>
                <w:b/>
                <w:bCs/>
                <w:color w:val="000000"/>
                <w:sz w:val="20"/>
                <w:szCs w:val="20"/>
              </w:rPr>
            </w:pPr>
            <w:r w:rsidRPr="00346EE6">
              <w:rPr>
                <w:rFonts w:ascii="Times New Roman" w:hAnsi="Times New Roman"/>
                <w:b/>
                <w:bCs/>
                <w:color w:val="000000"/>
                <w:sz w:val="20"/>
                <w:szCs w:val="20"/>
              </w:rPr>
              <w:t xml:space="preserve">Italia </w:t>
            </w:r>
          </w:p>
        </w:tc>
        <w:tc>
          <w:tcPr>
            <w:tcW w:w="1984" w:type="dxa"/>
            <w:tcBorders>
              <w:bottom w:val="single" w:sz="4" w:space="0" w:color="auto"/>
            </w:tcBorders>
            <w:vAlign w:val="center"/>
          </w:tcPr>
          <w:p w:rsidR="008530E1" w:rsidRPr="00346EE6" w:rsidRDefault="008530E1" w:rsidP="00CA64D3">
            <w:pPr>
              <w:spacing w:line="280" w:lineRule="exact"/>
              <w:jc w:val="center"/>
              <w:rPr>
                <w:rFonts w:ascii="Times New Roman" w:hAnsi="Times New Roman"/>
                <w:b/>
                <w:bCs/>
                <w:sz w:val="20"/>
                <w:szCs w:val="20"/>
              </w:rPr>
            </w:pPr>
            <w:r w:rsidRPr="00346EE6">
              <w:rPr>
                <w:rFonts w:ascii="Times New Roman" w:hAnsi="Times New Roman"/>
                <w:b/>
                <w:bCs/>
                <w:sz w:val="20"/>
                <w:szCs w:val="20"/>
              </w:rPr>
              <w:t>106.665.926,66</w:t>
            </w:r>
          </w:p>
        </w:tc>
        <w:tc>
          <w:tcPr>
            <w:tcW w:w="1843" w:type="dxa"/>
            <w:tcBorders>
              <w:bottom w:val="single" w:sz="4" w:space="0" w:color="auto"/>
            </w:tcBorders>
            <w:vAlign w:val="center"/>
          </w:tcPr>
          <w:p w:rsidR="008530E1" w:rsidRPr="00346EE6" w:rsidRDefault="008530E1" w:rsidP="00CA64D3">
            <w:pPr>
              <w:jc w:val="center"/>
              <w:rPr>
                <w:rFonts w:ascii="Times New Roman" w:hAnsi="Times New Roman"/>
                <w:b/>
                <w:bCs/>
                <w:sz w:val="20"/>
                <w:szCs w:val="20"/>
              </w:rPr>
            </w:pPr>
            <w:r>
              <w:rPr>
                <w:rFonts w:ascii="Times New Roman" w:hAnsi="Times New Roman"/>
                <w:b/>
                <w:bCs/>
                <w:sz w:val="20"/>
                <w:szCs w:val="20"/>
              </w:rPr>
              <w:t>120.126.567,16</w:t>
            </w:r>
          </w:p>
        </w:tc>
        <w:tc>
          <w:tcPr>
            <w:tcW w:w="160" w:type="dxa"/>
            <w:tcBorders>
              <w:bottom w:val="single" w:sz="4" w:space="0" w:color="auto"/>
            </w:tcBorders>
            <w:vAlign w:val="center"/>
          </w:tcPr>
          <w:p w:rsidR="008530E1" w:rsidRPr="00346EE6" w:rsidRDefault="008530E1" w:rsidP="00CA64D3">
            <w:pPr>
              <w:spacing w:line="280" w:lineRule="exact"/>
              <w:jc w:val="right"/>
              <w:rPr>
                <w:rFonts w:ascii="Times New Roman" w:hAnsi="Times New Roman"/>
                <w:b/>
                <w:bCs/>
                <w:sz w:val="20"/>
                <w:szCs w:val="20"/>
              </w:rPr>
            </w:pPr>
          </w:p>
        </w:tc>
        <w:tc>
          <w:tcPr>
            <w:tcW w:w="1701" w:type="dxa"/>
            <w:tcBorders>
              <w:bottom w:val="single" w:sz="4" w:space="0" w:color="auto"/>
            </w:tcBorders>
            <w:vAlign w:val="center"/>
          </w:tcPr>
          <w:p w:rsidR="008530E1" w:rsidRPr="00346EE6" w:rsidRDefault="008530E1" w:rsidP="00CA64D3">
            <w:pPr>
              <w:jc w:val="center"/>
              <w:rPr>
                <w:rFonts w:ascii="Times New Roman" w:hAnsi="Times New Roman"/>
                <w:b/>
                <w:bCs/>
                <w:sz w:val="20"/>
                <w:szCs w:val="20"/>
              </w:rPr>
            </w:pPr>
            <w:r>
              <w:rPr>
                <w:rFonts w:ascii="Times New Roman" w:hAnsi="Times New Roman"/>
                <w:b/>
                <w:bCs/>
                <w:sz w:val="20"/>
                <w:szCs w:val="20"/>
              </w:rPr>
              <w:t>12,6</w:t>
            </w:r>
            <w:r w:rsidRPr="00346EE6">
              <w:rPr>
                <w:rFonts w:ascii="Times New Roman" w:hAnsi="Times New Roman"/>
                <w:b/>
                <w:bCs/>
                <w:sz w:val="20"/>
                <w:szCs w:val="20"/>
              </w:rPr>
              <w:t>%</w:t>
            </w:r>
          </w:p>
        </w:tc>
        <w:tc>
          <w:tcPr>
            <w:tcW w:w="1984" w:type="dxa"/>
            <w:tcBorders>
              <w:bottom w:val="single" w:sz="4" w:space="0" w:color="auto"/>
            </w:tcBorders>
            <w:vAlign w:val="center"/>
          </w:tcPr>
          <w:p w:rsidR="008530E1" w:rsidRPr="00346EE6" w:rsidRDefault="008530E1" w:rsidP="00CA64D3">
            <w:pPr>
              <w:jc w:val="center"/>
              <w:rPr>
                <w:rFonts w:ascii="Times New Roman" w:hAnsi="Times New Roman"/>
                <w:b/>
                <w:bCs/>
                <w:sz w:val="20"/>
                <w:szCs w:val="20"/>
              </w:rPr>
            </w:pPr>
            <w:r>
              <w:rPr>
                <w:rFonts w:ascii="Times New Roman" w:hAnsi="Times New Roman"/>
                <w:b/>
                <w:bCs/>
                <w:sz w:val="20"/>
                <w:szCs w:val="20"/>
              </w:rPr>
              <w:t>62,8</w:t>
            </w:r>
            <w:r w:rsidRPr="00346EE6">
              <w:rPr>
                <w:rFonts w:ascii="Times New Roman" w:hAnsi="Times New Roman"/>
                <w:b/>
                <w:bCs/>
                <w:sz w:val="20"/>
                <w:szCs w:val="20"/>
              </w:rPr>
              <w:t>%</w:t>
            </w:r>
          </w:p>
        </w:tc>
      </w:tr>
    </w:tbl>
    <w:p w:rsidR="008530E1" w:rsidRPr="00346EE6" w:rsidRDefault="008530E1" w:rsidP="008530E1">
      <w:pPr>
        <w:spacing w:after="120"/>
        <w:rPr>
          <w:rFonts w:ascii="Times New Roman" w:hAnsi="Times New Roman"/>
          <w:sz w:val="18"/>
          <w:szCs w:val="18"/>
        </w:rPr>
      </w:pPr>
      <w:r w:rsidRPr="00346EE6">
        <w:rPr>
          <w:rFonts w:ascii="Times New Roman" w:hAnsi="Times New Roman"/>
          <w:i/>
          <w:sz w:val="18"/>
          <w:szCs w:val="18"/>
        </w:rPr>
        <w:t>Fonte</w:t>
      </w:r>
      <w:r>
        <w:rPr>
          <w:rFonts w:ascii="Times New Roman" w:hAnsi="Times New Roman"/>
          <w:sz w:val="18"/>
          <w:szCs w:val="18"/>
        </w:rPr>
        <w:t>: elaborazione Isfol su dati delle regioni e Province Autonome.</w:t>
      </w:r>
    </w:p>
    <w:p w:rsidR="008530E1" w:rsidRDefault="008530E1" w:rsidP="008530E1">
      <w:pPr>
        <w:autoSpaceDE w:val="0"/>
        <w:autoSpaceDN w:val="0"/>
        <w:adjustRightInd w:val="0"/>
        <w:spacing w:after="0" w:line="240" w:lineRule="auto"/>
        <w:jc w:val="both"/>
        <w:rPr>
          <w:rFonts w:ascii="Tahoma" w:hAnsi="Tahoma" w:cs="Tahoma"/>
        </w:rPr>
      </w:pPr>
    </w:p>
    <w:p w:rsidR="008530E1" w:rsidRPr="00534D79" w:rsidRDefault="008530E1" w:rsidP="008530E1">
      <w:pPr>
        <w:autoSpaceDE w:val="0"/>
        <w:autoSpaceDN w:val="0"/>
        <w:adjustRightInd w:val="0"/>
        <w:spacing w:after="0" w:line="240" w:lineRule="auto"/>
        <w:jc w:val="both"/>
        <w:rPr>
          <w:rFonts w:ascii="Times New Roman" w:hAnsi="Times New Roman"/>
          <w:sz w:val="24"/>
          <w:szCs w:val="24"/>
        </w:rPr>
      </w:pPr>
      <w:r w:rsidRPr="00346EE6">
        <w:rPr>
          <w:rFonts w:ascii="Times New Roman" w:hAnsi="Times New Roman"/>
          <w:sz w:val="24"/>
          <w:szCs w:val="24"/>
        </w:rPr>
        <w:t>Analizzando la capacità di spesa delle amministrazioni regionali</w:t>
      </w:r>
      <w:r>
        <w:rPr>
          <w:rFonts w:ascii="Times New Roman" w:hAnsi="Times New Roman"/>
          <w:sz w:val="24"/>
          <w:szCs w:val="24"/>
        </w:rPr>
        <w:t xml:space="preserve"> per il 2011</w:t>
      </w:r>
      <w:r w:rsidRPr="00346EE6">
        <w:rPr>
          <w:rFonts w:ascii="Times New Roman" w:hAnsi="Times New Roman"/>
          <w:sz w:val="24"/>
          <w:szCs w:val="24"/>
        </w:rPr>
        <w:t>, calcolata rapportando risorse spese e impegnate in uno stesso anno</w:t>
      </w:r>
      <w:r w:rsidRPr="00346EE6">
        <w:rPr>
          <w:rStyle w:val="Rimandonotaapidipagina"/>
          <w:rFonts w:ascii="Times New Roman" w:hAnsi="Times New Roman"/>
          <w:sz w:val="24"/>
          <w:szCs w:val="24"/>
        </w:rPr>
        <w:footnoteReference w:id="13"/>
      </w:r>
      <w:r w:rsidRPr="00346EE6">
        <w:rPr>
          <w:rFonts w:ascii="Times New Roman" w:hAnsi="Times New Roman"/>
          <w:sz w:val="24"/>
          <w:szCs w:val="24"/>
        </w:rPr>
        <w:t xml:space="preserve"> (cfr. </w:t>
      </w:r>
      <w:r>
        <w:rPr>
          <w:rFonts w:ascii="Times New Roman" w:hAnsi="Times New Roman"/>
          <w:sz w:val="24"/>
          <w:szCs w:val="24"/>
        </w:rPr>
        <w:t>tab. 33</w:t>
      </w:r>
      <w:r w:rsidRPr="00534D79">
        <w:rPr>
          <w:rFonts w:ascii="Times New Roman" w:hAnsi="Times New Roman"/>
          <w:sz w:val="24"/>
          <w:szCs w:val="24"/>
        </w:rPr>
        <w:t>), emerge che solo nelle aree del settentrione si raggiungono valori elevati intorno al 76%</w:t>
      </w:r>
      <w:r w:rsidRPr="00534D79">
        <w:rPr>
          <w:rStyle w:val="Rimandonotaapidipagina"/>
          <w:rFonts w:ascii="Times New Roman" w:hAnsi="Times New Roman"/>
          <w:sz w:val="24"/>
          <w:szCs w:val="24"/>
        </w:rPr>
        <w:footnoteReference w:id="14"/>
      </w:r>
      <w:r w:rsidRPr="00534D79">
        <w:rPr>
          <w:rFonts w:ascii="Times New Roman" w:hAnsi="Times New Roman"/>
          <w:sz w:val="24"/>
          <w:szCs w:val="24"/>
        </w:rPr>
        <w:t>. Nelle rimanenti ripartizioni territoriali si registra una generale diminuzione della quota delle risorse spese rispetto a quelle impegnate: in termini di punti percentuali la variazione negativa più consistente si registra nel Sud con -17,1 punti percentuali, mentre una riduzione più contenuta si evidenzia per le Regioni del Centro (-4,2 punti percentuali).</w:t>
      </w:r>
    </w:p>
    <w:p w:rsidR="008530E1" w:rsidRPr="00534D79" w:rsidRDefault="008530E1" w:rsidP="008530E1">
      <w:pPr>
        <w:autoSpaceDE w:val="0"/>
        <w:autoSpaceDN w:val="0"/>
        <w:adjustRightInd w:val="0"/>
        <w:spacing w:after="0" w:line="240" w:lineRule="auto"/>
        <w:jc w:val="both"/>
        <w:rPr>
          <w:rFonts w:ascii="Times New Roman" w:hAnsi="Times New Roman"/>
          <w:sz w:val="24"/>
          <w:szCs w:val="24"/>
        </w:rPr>
      </w:pPr>
    </w:p>
    <w:p w:rsidR="008530E1" w:rsidRPr="00346EE6" w:rsidRDefault="008530E1" w:rsidP="008530E1">
      <w:pPr>
        <w:autoSpaceDE w:val="0"/>
        <w:autoSpaceDN w:val="0"/>
        <w:adjustRightInd w:val="0"/>
        <w:spacing w:after="0" w:line="240" w:lineRule="auto"/>
        <w:jc w:val="both"/>
        <w:rPr>
          <w:rFonts w:ascii="Times New Roman" w:hAnsi="Times New Roman"/>
          <w:sz w:val="24"/>
          <w:szCs w:val="24"/>
        </w:rPr>
      </w:pPr>
      <w:r w:rsidRPr="00534D79">
        <w:rPr>
          <w:rFonts w:ascii="Times New Roman" w:hAnsi="Times New Roman"/>
          <w:sz w:val="24"/>
          <w:szCs w:val="24"/>
        </w:rPr>
        <w:lastRenderedPageBreak/>
        <w:t>Prendendo in considerazione l’andamento degli impegni e delle spese per ripartizione geografica, nell’ultimo triennio emergono alcune peculiarità circa la gestione delle risorse finanziarie nei diversi territori</w:t>
      </w:r>
      <w:r w:rsidRPr="00534D79">
        <w:rPr>
          <w:rStyle w:val="Rimandonotaapidipagina"/>
          <w:rFonts w:ascii="Times New Roman" w:hAnsi="Times New Roman"/>
          <w:sz w:val="24"/>
          <w:szCs w:val="24"/>
        </w:rPr>
        <w:footnoteReference w:id="15"/>
      </w:r>
      <w:r>
        <w:rPr>
          <w:rFonts w:ascii="Times New Roman" w:hAnsi="Times New Roman"/>
          <w:sz w:val="24"/>
          <w:szCs w:val="24"/>
        </w:rPr>
        <w:t xml:space="preserve"> (c</w:t>
      </w:r>
      <w:r w:rsidRPr="00534D79">
        <w:rPr>
          <w:rFonts w:ascii="Times New Roman" w:hAnsi="Times New Roman"/>
          <w:sz w:val="24"/>
          <w:szCs w:val="24"/>
        </w:rPr>
        <w:t xml:space="preserve">fr. </w:t>
      </w:r>
      <w:proofErr w:type="spellStart"/>
      <w:r w:rsidRPr="00534D79">
        <w:rPr>
          <w:rFonts w:ascii="Times New Roman" w:hAnsi="Times New Roman"/>
          <w:sz w:val="24"/>
          <w:szCs w:val="24"/>
        </w:rPr>
        <w:t>g</w:t>
      </w:r>
      <w:r>
        <w:rPr>
          <w:rFonts w:ascii="Times New Roman" w:hAnsi="Times New Roman"/>
          <w:sz w:val="24"/>
          <w:szCs w:val="24"/>
        </w:rPr>
        <w:t>raf</w:t>
      </w:r>
      <w:proofErr w:type="spellEnd"/>
      <w:r>
        <w:rPr>
          <w:rFonts w:ascii="Times New Roman" w:hAnsi="Times New Roman"/>
          <w:sz w:val="24"/>
          <w:szCs w:val="24"/>
        </w:rPr>
        <w:t>. 9</w:t>
      </w:r>
      <w:r w:rsidRPr="00534D79">
        <w:rPr>
          <w:rFonts w:ascii="Times New Roman" w:hAnsi="Times New Roman"/>
          <w:sz w:val="24"/>
          <w:szCs w:val="24"/>
        </w:rPr>
        <w:t>)</w:t>
      </w:r>
      <w:r>
        <w:rPr>
          <w:rFonts w:ascii="Times New Roman" w:hAnsi="Times New Roman"/>
          <w:sz w:val="24"/>
          <w:szCs w:val="24"/>
        </w:rPr>
        <w:t>.</w:t>
      </w: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Pr="00346EE6" w:rsidRDefault="008530E1" w:rsidP="008530E1">
      <w:pPr>
        <w:autoSpaceDE w:val="0"/>
        <w:autoSpaceDN w:val="0"/>
        <w:adjustRightInd w:val="0"/>
        <w:spacing w:after="0" w:line="240" w:lineRule="auto"/>
        <w:jc w:val="both"/>
        <w:rPr>
          <w:rFonts w:ascii="Times New Roman" w:hAnsi="Times New Roman"/>
          <w:sz w:val="24"/>
          <w:szCs w:val="24"/>
        </w:rPr>
      </w:pPr>
    </w:p>
    <w:p w:rsidR="008530E1" w:rsidRPr="001B017A" w:rsidRDefault="008530E1" w:rsidP="008530E1">
      <w:pPr>
        <w:autoSpaceDE w:val="0"/>
        <w:autoSpaceDN w:val="0"/>
        <w:adjustRightInd w:val="0"/>
        <w:jc w:val="both"/>
        <w:rPr>
          <w:rFonts w:ascii="Times New Roman" w:hAnsi="Times New Roman"/>
          <w:b/>
        </w:rPr>
      </w:pPr>
      <w:r>
        <w:rPr>
          <w:rFonts w:ascii="Times New Roman" w:hAnsi="Times New Roman"/>
          <w:b/>
        </w:rPr>
        <w:t>Grafico  9</w:t>
      </w:r>
      <w:r w:rsidRPr="00534D79">
        <w:rPr>
          <w:rFonts w:ascii="Times New Roman" w:hAnsi="Times New Roman"/>
          <w:b/>
        </w:rPr>
        <w:t xml:space="preserve"> - Risorse</w:t>
      </w:r>
      <w:r w:rsidRPr="00346EE6">
        <w:rPr>
          <w:rFonts w:ascii="Times New Roman" w:hAnsi="Times New Roman"/>
          <w:b/>
        </w:rPr>
        <w:t xml:space="preserve"> impegnate e spese nelle ripartizioni geografiche – anni 2009-2011 – val</w:t>
      </w:r>
      <w:r>
        <w:rPr>
          <w:rFonts w:ascii="Times New Roman" w:hAnsi="Times New Roman"/>
          <w:b/>
        </w:rPr>
        <w:t>ori</w:t>
      </w:r>
      <w:r w:rsidRPr="00346EE6">
        <w:rPr>
          <w:rFonts w:ascii="Times New Roman" w:hAnsi="Times New Roman"/>
          <w:b/>
        </w:rPr>
        <w:t xml:space="preserve"> assoluti</w:t>
      </w:r>
    </w:p>
    <w:p w:rsidR="008530E1" w:rsidRPr="00421BE5" w:rsidRDefault="008530E1" w:rsidP="008530E1">
      <w:pPr>
        <w:autoSpaceDE w:val="0"/>
        <w:autoSpaceDN w:val="0"/>
        <w:adjustRightInd w:val="0"/>
        <w:spacing w:line="360" w:lineRule="auto"/>
        <w:jc w:val="both"/>
        <w:rPr>
          <w:rFonts w:ascii="Tahoma" w:hAnsi="Tahoma" w:cs="Tahoma"/>
        </w:rPr>
      </w:pPr>
      <w:r>
        <w:rPr>
          <w:noProof/>
          <w:lang w:eastAsia="it-IT"/>
        </w:rPr>
        <w:drawing>
          <wp:inline distT="0" distB="0" distL="0" distR="0">
            <wp:extent cx="6116320" cy="25793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116320" cy="2579370"/>
                    </a:xfrm>
                    <a:prstGeom prst="rect">
                      <a:avLst/>
                    </a:prstGeom>
                    <a:noFill/>
                    <a:ln w="9525">
                      <a:noFill/>
                      <a:miter lim="800000"/>
                      <a:headEnd/>
                      <a:tailEnd/>
                    </a:ln>
                  </pic:spPr>
                </pic:pic>
              </a:graphicData>
            </a:graphic>
          </wp:inline>
        </w:drawing>
      </w:r>
    </w:p>
    <w:p w:rsidR="008530E1" w:rsidRPr="00FD1990" w:rsidRDefault="008530E1" w:rsidP="008530E1">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Fonte: elaborazione</w:t>
      </w:r>
      <w:r w:rsidRPr="00FD1990">
        <w:rPr>
          <w:rFonts w:ascii="Times New Roman" w:hAnsi="Times New Roman"/>
          <w:sz w:val="18"/>
          <w:szCs w:val="18"/>
        </w:rPr>
        <w:t xml:space="preserve"> Isfol su dati delle Regioni e Province Autonome.</w:t>
      </w: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Default="008530E1" w:rsidP="008530E1">
      <w:pPr>
        <w:autoSpaceDE w:val="0"/>
        <w:autoSpaceDN w:val="0"/>
        <w:adjustRightInd w:val="0"/>
        <w:spacing w:after="0" w:line="240" w:lineRule="auto"/>
        <w:jc w:val="both"/>
        <w:rPr>
          <w:rFonts w:ascii="Times New Roman" w:hAnsi="Times New Roman"/>
          <w:sz w:val="24"/>
          <w:szCs w:val="24"/>
        </w:rPr>
      </w:pPr>
    </w:p>
    <w:p w:rsidR="008530E1" w:rsidRPr="00346EE6" w:rsidRDefault="008530E1" w:rsidP="008530E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Il Nord Ovest raddoppia</w:t>
      </w:r>
      <w:r w:rsidRPr="00346EE6">
        <w:rPr>
          <w:rFonts w:ascii="Times New Roman" w:hAnsi="Times New Roman"/>
          <w:sz w:val="24"/>
          <w:szCs w:val="24"/>
        </w:rPr>
        <w:t xml:space="preserve"> la capacità di spesa nel triennio</w:t>
      </w:r>
      <w:r>
        <w:rPr>
          <w:rStyle w:val="Rimandonotaapidipagina"/>
          <w:rFonts w:ascii="Times New Roman" w:hAnsi="Times New Roman"/>
          <w:sz w:val="24"/>
          <w:szCs w:val="24"/>
        </w:rPr>
        <w:footnoteReference w:id="16"/>
      </w:r>
      <w:r>
        <w:rPr>
          <w:rFonts w:ascii="Times New Roman" w:hAnsi="Times New Roman"/>
          <w:sz w:val="24"/>
          <w:szCs w:val="24"/>
        </w:rPr>
        <w:t>. Nell’area del Nord E</w:t>
      </w:r>
      <w:r w:rsidRPr="00346EE6">
        <w:rPr>
          <w:rFonts w:ascii="Times New Roman" w:hAnsi="Times New Roman"/>
          <w:sz w:val="24"/>
          <w:szCs w:val="24"/>
        </w:rPr>
        <w:t xml:space="preserve">st i volumi degli impegni nel triennio </w:t>
      </w:r>
      <w:r>
        <w:rPr>
          <w:rFonts w:ascii="Times New Roman" w:hAnsi="Times New Roman"/>
          <w:sz w:val="24"/>
          <w:szCs w:val="24"/>
        </w:rPr>
        <w:t xml:space="preserve">risultano in leggera decrescita, mentre quelli della spesa </w:t>
      </w:r>
      <w:r w:rsidRPr="00346EE6">
        <w:rPr>
          <w:rFonts w:ascii="Times New Roman" w:hAnsi="Times New Roman"/>
          <w:sz w:val="24"/>
          <w:szCs w:val="24"/>
        </w:rPr>
        <w:t>mostrano un andamento altalenante. Situazione inversa rispetto a quella appena descritta si registra nell’area centrale, dove sono i volumi della spesa a mantenere un andamento più o meno invariato nel triennio, mentre oscillano i valori dei fondi stanziati, influenzando anche il trend della capacità di spesa</w:t>
      </w:r>
      <w:r>
        <w:rPr>
          <w:rStyle w:val="Rimandonotaapidipagina"/>
          <w:rFonts w:ascii="Times New Roman" w:hAnsi="Times New Roman"/>
          <w:sz w:val="24"/>
          <w:szCs w:val="24"/>
        </w:rPr>
        <w:footnoteReference w:id="17"/>
      </w:r>
      <w:r>
        <w:rPr>
          <w:rFonts w:ascii="Times New Roman" w:hAnsi="Times New Roman"/>
          <w:sz w:val="24"/>
          <w:szCs w:val="24"/>
        </w:rPr>
        <w:t xml:space="preserve">. </w:t>
      </w:r>
      <w:r w:rsidRPr="00346EE6">
        <w:rPr>
          <w:rFonts w:ascii="Times New Roman" w:hAnsi="Times New Roman"/>
          <w:sz w:val="24"/>
          <w:szCs w:val="24"/>
        </w:rPr>
        <w:t xml:space="preserve">Nel periodo considerato i dati </w:t>
      </w:r>
      <w:r>
        <w:rPr>
          <w:rFonts w:ascii="Times New Roman" w:hAnsi="Times New Roman"/>
          <w:sz w:val="24"/>
          <w:szCs w:val="24"/>
        </w:rPr>
        <w:t>relativi alle Regioni del S</w:t>
      </w:r>
      <w:r w:rsidRPr="00346EE6">
        <w:rPr>
          <w:rFonts w:ascii="Times New Roman" w:hAnsi="Times New Roman"/>
          <w:sz w:val="24"/>
          <w:szCs w:val="24"/>
        </w:rPr>
        <w:t>ud descrivono una maggior propensione ad investire nell’apprendistato ed utilizzare le relative risorse, con valori più marcati per l’anno 20</w:t>
      </w:r>
      <w:r>
        <w:rPr>
          <w:rFonts w:ascii="Times New Roman" w:hAnsi="Times New Roman"/>
          <w:sz w:val="24"/>
          <w:szCs w:val="24"/>
        </w:rPr>
        <w:t xml:space="preserve">10. </w:t>
      </w:r>
    </w:p>
    <w:p w:rsidR="008530E1" w:rsidRDefault="008530E1" w:rsidP="008530E1">
      <w:pPr>
        <w:pStyle w:val="NormalWeb"/>
        <w:keepNext/>
        <w:spacing w:line="240" w:lineRule="auto"/>
        <w:jc w:val="both"/>
        <w:rPr>
          <w:kern w:val="0"/>
          <w:lang w:eastAsia="it-IT"/>
        </w:rPr>
      </w:pPr>
    </w:p>
    <w:p w:rsidR="008530E1" w:rsidRPr="00346EE6" w:rsidRDefault="008530E1" w:rsidP="008530E1">
      <w:pPr>
        <w:pStyle w:val="NormalWeb"/>
        <w:keepNext/>
        <w:spacing w:line="240" w:lineRule="auto"/>
        <w:jc w:val="both"/>
        <w:rPr>
          <w:kern w:val="0"/>
          <w:lang w:eastAsia="it-IT"/>
        </w:rPr>
      </w:pPr>
      <w:r w:rsidRPr="00346EE6">
        <w:rPr>
          <w:kern w:val="0"/>
          <w:lang w:eastAsia="it-IT"/>
        </w:rPr>
        <w:t>Ulteriori informazioni di carattere economico-finanziario sono presenti nella Relazione generale sulla situazione economica del P</w:t>
      </w:r>
      <w:r>
        <w:rPr>
          <w:kern w:val="0"/>
          <w:lang w:eastAsia="it-IT"/>
        </w:rPr>
        <w:t>aese (2011) del Ministero dell’E</w:t>
      </w:r>
      <w:r w:rsidRPr="00346EE6">
        <w:rPr>
          <w:kern w:val="0"/>
          <w:lang w:eastAsia="it-IT"/>
        </w:rPr>
        <w:t xml:space="preserve">conomia e </w:t>
      </w:r>
      <w:r>
        <w:rPr>
          <w:kern w:val="0"/>
          <w:lang w:eastAsia="it-IT"/>
        </w:rPr>
        <w:t>delle F</w:t>
      </w:r>
      <w:r w:rsidRPr="00346EE6">
        <w:rPr>
          <w:kern w:val="0"/>
          <w:lang w:eastAsia="it-IT"/>
        </w:rPr>
        <w:t>inanze, che aiutano a delineare il quadro che supporta il sistema apprendistato.</w:t>
      </w:r>
    </w:p>
    <w:p w:rsidR="008530E1" w:rsidRDefault="008530E1" w:rsidP="008530E1">
      <w:pPr>
        <w:pStyle w:val="NormalWeb"/>
        <w:spacing w:line="240" w:lineRule="auto"/>
        <w:jc w:val="both"/>
        <w:rPr>
          <w:kern w:val="0"/>
          <w:lang w:eastAsia="it-IT"/>
        </w:rPr>
      </w:pPr>
    </w:p>
    <w:p w:rsidR="008530E1" w:rsidRPr="00346EE6" w:rsidRDefault="008530E1" w:rsidP="008530E1">
      <w:pPr>
        <w:pStyle w:val="NormalWeb"/>
        <w:spacing w:line="240" w:lineRule="auto"/>
        <w:jc w:val="both"/>
        <w:rPr>
          <w:kern w:val="0"/>
          <w:lang w:eastAsia="it-IT"/>
        </w:rPr>
      </w:pPr>
      <w:r w:rsidRPr="00346EE6">
        <w:rPr>
          <w:kern w:val="0"/>
          <w:lang w:eastAsia="it-IT"/>
        </w:rPr>
        <w:t xml:space="preserve">La tabella </w:t>
      </w:r>
      <w:r>
        <w:rPr>
          <w:kern w:val="0"/>
          <w:lang w:eastAsia="it-IT"/>
        </w:rPr>
        <w:t>seguente (</w:t>
      </w:r>
      <w:r>
        <w:t xml:space="preserve">cfr. tab. 34) </w:t>
      </w:r>
      <w:r w:rsidRPr="00346EE6">
        <w:rPr>
          <w:kern w:val="0"/>
          <w:lang w:eastAsia="it-IT"/>
        </w:rPr>
        <w:t>indica che nel corso del 2009 sono stati spesi per l’apprendistato 2,2 miliardi di euro, di cui il  94,3% per la copertura delle sottocontribuzioni di imprese e apprendisti e la restante parte per il finanziamento delle attività formative.</w:t>
      </w:r>
    </w:p>
    <w:p w:rsidR="008530E1" w:rsidRPr="00346EE6" w:rsidRDefault="008530E1" w:rsidP="008530E1">
      <w:pPr>
        <w:spacing w:after="0" w:line="240" w:lineRule="auto"/>
        <w:jc w:val="both"/>
        <w:rPr>
          <w:rFonts w:ascii="Times New Roman" w:hAnsi="Times New Roman"/>
          <w:b/>
        </w:rPr>
      </w:pPr>
      <w:r w:rsidRPr="00534D79">
        <w:rPr>
          <w:rFonts w:ascii="Times New Roman" w:hAnsi="Times New Roman"/>
          <w:b/>
        </w:rPr>
        <w:t>Tab</w:t>
      </w:r>
      <w:r>
        <w:rPr>
          <w:rFonts w:ascii="Times New Roman" w:hAnsi="Times New Roman"/>
          <w:b/>
        </w:rPr>
        <w:t>ella 34</w:t>
      </w:r>
      <w:r w:rsidRPr="00534D79">
        <w:rPr>
          <w:rFonts w:ascii="Times New Roman" w:hAnsi="Times New Roman"/>
          <w:b/>
        </w:rPr>
        <w:t xml:space="preserve"> – Spese</w:t>
      </w:r>
      <w:r>
        <w:rPr>
          <w:rFonts w:ascii="Times New Roman" w:hAnsi="Times New Roman"/>
          <w:b/>
        </w:rPr>
        <w:t xml:space="preserve"> per </w:t>
      </w:r>
      <w:r w:rsidRPr="00346EE6">
        <w:rPr>
          <w:rFonts w:ascii="Times New Roman" w:hAnsi="Times New Roman"/>
          <w:b/>
        </w:rPr>
        <w:t>contratti di apprendistato – sottocontribuzion</w:t>
      </w:r>
      <w:r>
        <w:rPr>
          <w:rFonts w:ascii="Times New Roman" w:hAnsi="Times New Roman"/>
          <w:b/>
        </w:rPr>
        <w:t>i e sistema di formazione (2003-2009)</w:t>
      </w:r>
    </w:p>
    <w:tbl>
      <w:tblPr>
        <w:tblW w:w="9807" w:type="dxa"/>
        <w:tblInd w:w="109" w:type="dxa"/>
        <w:tblLayout w:type="fixed"/>
        <w:tblLook w:val="0000"/>
      </w:tblPr>
      <w:tblGrid>
        <w:gridCol w:w="3969"/>
        <w:gridCol w:w="973"/>
        <w:gridCol w:w="973"/>
        <w:gridCol w:w="973"/>
        <w:gridCol w:w="973"/>
        <w:gridCol w:w="973"/>
        <w:gridCol w:w="973"/>
      </w:tblGrid>
      <w:tr w:rsidR="008530E1" w:rsidRPr="00346EE6" w:rsidTr="00CA64D3">
        <w:trPr>
          <w:trHeight w:val="513"/>
        </w:trPr>
        <w:tc>
          <w:tcPr>
            <w:tcW w:w="3969" w:type="dxa"/>
            <w:tcBorders>
              <w:top w:val="single" w:sz="4" w:space="0" w:color="000000"/>
              <w:bottom w:val="single" w:sz="4" w:space="0" w:color="000000"/>
            </w:tcBorders>
            <w:vAlign w:val="center"/>
          </w:tcPr>
          <w:p w:rsidR="008530E1" w:rsidRPr="00346EE6" w:rsidRDefault="008530E1" w:rsidP="00CA64D3">
            <w:pPr>
              <w:spacing w:after="120"/>
              <w:rPr>
                <w:rFonts w:ascii="Times New Roman" w:hAnsi="Times New Roman"/>
                <w:b/>
                <w:sz w:val="20"/>
                <w:szCs w:val="20"/>
              </w:rPr>
            </w:pPr>
            <w:r w:rsidRPr="00346EE6">
              <w:rPr>
                <w:rFonts w:ascii="Times New Roman" w:hAnsi="Times New Roman"/>
                <w:b/>
                <w:sz w:val="20"/>
                <w:szCs w:val="20"/>
              </w:rPr>
              <w:t>Indicatori</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right"/>
              <w:rPr>
                <w:rFonts w:ascii="Times New Roman" w:hAnsi="Times New Roman"/>
                <w:b/>
                <w:sz w:val="20"/>
                <w:szCs w:val="20"/>
              </w:rPr>
            </w:pPr>
            <w:r w:rsidRPr="00346EE6">
              <w:rPr>
                <w:rFonts w:ascii="Times New Roman" w:hAnsi="Times New Roman"/>
                <w:b/>
                <w:sz w:val="20"/>
                <w:szCs w:val="20"/>
              </w:rPr>
              <w:t>2004</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right"/>
              <w:rPr>
                <w:rFonts w:ascii="Times New Roman" w:hAnsi="Times New Roman"/>
                <w:b/>
                <w:sz w:val="20"/>
                <w:szCs w:val="20"/>
              </w:rPr>
            </w:pPr>
            <w:r w:rsidRPr="00346EE6">
              <w:rPr>
                <w:rFonts w:ascii="Times New Roman" w:hAnsi="Times New Roman"/>
                <w:b/>
                <w:sz w:val="20"/>
                <w:szCs w:val="20"/>
              </w:rPr>
              <w:t>2005</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right"/>
              <w:rPr>
                <w:rFonts w:ascii="Times New Roman" w:hAnsi="Times New Roman"/>
                <w:b/>
                <w:sz w:val="20"/>
                <w:szCs w:val="20"/>
              </w:rPr>
            </w:pPr>
            <w:r w:rsidRPr="00346EE6">
              <w:rPr>
                <w:rFonts w:ascii="Times New Roman" w:hAnsi="Times New Roman"/>
                <w:b/>
                <w:sz w:val="20"/>
                <w:szCs w:val="20"/>
              </w:rPr>
              <w:t>2006</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right"/>
              <w:rPr>
                <w:rFonts w:ascii="Times New Roman" w:hAnsi="Times New Roman"/>
                <w:b/>
                <w:sz w:val="20"/>
                <w:szCs w:val="20"/>
              </w:rPr>
            </w:pPr>
            <w:r w:rsidRPr="00346EE6">
              <w:rPr>
                <w:rFonts w:ascii="Times New Roman" w:hAnsi="Times New Roman"/>
                <w:b/>
                <w:sz w:val="20"/>
                <w:szCs w:val="20"/>
              </w:rPr>
              <w:t>2007</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center"/>
              <w:rPr>
                <w:rFonts w:ascii="Times New Roman" w:hAnsi="Times New Roman"/>
                <w:b/>
                <w:sz w:val="20"/>
                <w:szCs w:val="20"/>
              </w:rPr>
            </w:pPr>
            <w:r w:rsidRPr="00346EE6">
              <w:rPr>
                <w:rFonts w:ascii="Times New Roman" w:hAnsi="Times New Roman"/>
                <w:b/>
                <w:sz w:val="20"/>
                <w:szCs w:val="20"/>
              </w:rPr>
              <w:t>2008</w:t>
            </w:r>
          </w:p>
        </w:tc>
        <w:tc>
          <w:tcPr>
            <w:tcW w:w="973" w:type="dxa"/>
            <w:tcBorders>
              <w:top w:val="single" w:sz="4" w:space="0" w:color="000000"/>
              <w:bottom w:val="single" w:sz="4" w:space="0" w:color="000000"/>
            </w:tcBorders>
            <w:vAlign w:val="center"/>
          </w:tcPr>
          <w:p w:rsidR="008530E1" w:rsidRPr="00346EE6" w:rsidRDefault="008530E1" w:rsidP="00CA64D3">
            <w:pPr>
              <w:spacing w:after="120"/>
              <w:jc w:val="right"/>
              <w:rPr>
                <w:rFonts w:ascii="Times New Roman" w:hAnsi="Times New Roman"/>
                <w:b/>
                <w:sz w:val="20"/>
                <w:szCs w:val="20"/>
              </w:rPr>
            </w:pPr>
            <w:r w:rsidRPr="00346EE6">
              <w:rPr>
                <w:rFonts w:ascii="Times New Roman" w:hAnsi="Times New Roman"/>
                <w:b/>
                <w:sz w:val="20"/>
                <w:szCs w:val="20"/>
              </w:rPr>
              <w:t>2009</w:t>
            </w:r>
          </w:p>
        </w:tc>
      </w:tr>
      <w:tr w:rsidR="008530E1" w:rsidTr="00CA64D3">
        <w:trPr>
          <w:trHeight w:val="278"/>
        </w:trPr>
        <w:tc>
          <w:tcPr>
            <w:tcW w:w="3969" w:type="dxa"/>
          </w:tcPr>
          <w:p w:rsidR="008530E1" w:rsidRPr="00346EE6" w:rsidRDefault="008530E1" w:rsidP="00CA64D3">
            <w:pPr>
              <w:rPr>
                <w:rFonts w:ascii="Times New Roman" w:hAnsi="Times New Roman"/>
                <w:sz w:val="20"/>
                <w:szCs w:val="20"/>
              </w:rPr>
            </w:pPr>
            <w:r w:rsidRPr="00346EE6">
              <w:rPr>
                <w:rFonts w:ascii="Times New Roman" w:hAnsi="Times New Roman"/>
                <w:sz w:val="20"/>
                <w:szCs w:val="20"/>
              </w:rPr>
              <w:lastRenderedPageBreak/>
              <w:t>Spesa per l’apprendistato (</w:t>
            </w:r>
            <w:proofErr w:type="spellStart"/>
            <w:r w:rsidRPr="00346EE6">
              <w:rPr>
                <w:rFonts w:ascii="Times New Roman" w:hAnsi="Times New Roman"/>
                <w:sz w:val="20"/>
                <w:szCs w:val="20"/>
              </w:rPr>
              <w:t>mln</w:t>
            </w:r>
            <w:proofErr w:type="spellEnd"/>
            <w:r w:rsidRPr="00346EE6">
              <w:rPr>
                <w:rFonts w:ascii="Times New Roman" w:hAnsi="Times New Roman"/>
                <w:sz w:val="20"/>
                <w:szCs w:val="20"/>
              </w:rPr>
              <w:t xml:space="preserve"> di euro)</w:t>
            </w:r>
          </w:p>
        </w:tc>
        <w:tc>
          <w:tcPr>
            <w:tcW w:w="973" w:type="dxa"/>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2.102</w:t>
            </w:r>
          </w:p>
        </w:tc>
        <w:tc>
          <w:tcPr>
            <w:tcW w:w="973" w:type="dxa"/>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2.187</w:t>
            </w:r>
          </w:p>
        </w:tc>
        <w:tc>
          <w:tcPr>
            <w:tcW w:w="973" w:type="dxa"/>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2.060</w:t>
            </w:r>
          </w:p>
        </w:tc>
        <w:tc>
          <w:tcPr>
            <w:tcW w:w="973" w:type="dxa"/>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1.999</w:t>
            </w:r>
            <w:r w:rsidRPr="00346EE6">
              <w:rPr>
                <w:rStyle w:val="Rimandonotaapidipagina"/>
                <w:rFonts w:ascii="Times New Roman" w:hAnsi="Times New Roman"/>
                <w:sz w:val="20"/>
                <w:szCs w:val="20"/>
              </w:rPr>
              <w:footnoteReference w:id="18"/>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2.321</w:t>
            </w:r>
          </w:p>
        </w:tc>
        <w:tc>
          <w:tcPr>
            <w:tcW w:w="973" w:type="dxa"/>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2.161</w:t>
            </w:r>
          </w:p>
        </w:tc>
      </w:tr>
      <w:tr w:rsidR="008530E1" w:rsidTr="00CA64D3">
        <w:trPr>
          <w:trHeight w:val="278"/>
        </w:trPr>
        <w:tc>
          <w:tcPr>
            <w:tcW w:w="3969" w:type="dxa"/>
          </w:tcPr>
          <w:p w:rsidR="008530E1" w:rsidRPr="00346EE6" w:rsidRDefault="008530E1" w:rsidP="00CA64D3">
            <w:pPr>
              <w:rPr>
                <w:rFonts w:ascii="Times New Roman" w:hAnsi="Times New Roman"/>
                <w:sz w:val="20"/>
                <w:szCs w:val="20"/>
              </w:rPr>
            </w:pPr>
            <w:r w:rsidRPr="00346EE6">
              <w:rPr>
                <w:rFonts w:ascii="Times New Roman" w:hAnsi="Times New Roman"/>
                <w:sz w:val="20"/>
                <w:szCs w:val="20"/>
              </w:rPr>
              <w:t>% su totale incentivi</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31,0</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34,9</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35,8</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39,3</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42,8</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44,0</w:t>
            </w:r>
          </w:p>
        </w:tc>
      </w:tr>
      <w:tr w:rsidR="008530E1" w:rsidRPr="00346EE6" w:rsidTr="00CA64D3">
        <w:trPr>
          <w:trHeight w:val="561"/>
        </w:trPr>
        <w:tc>
          <w:tcPr>
            <w:tcW w:w="3969" w:type="dxa"/>
          </w:tcPr>
          <w:p w:rsidR="008530E1" w:rsidRPr="00346EE6" w:rsidRDefault="008530E1" w:rsidP="00CA64D3">
            <w:pPr>
              <w:rPr>
                <w:rFonts w:ascii="Times New Roman" w:hAnsi="Times New Roman"/>
                <w:sz w:val="20"/>
                <w:szCs w:val="20"/>
              </w:rPr>
            </w:pPr>
            <w:r w:rsidRPr="00346EE6">
              <w:rPr>
                <w:rFonts w:ascii="Times New Roman" w:hAnsi="Times New Roman"/>
                <w:sz w:val="20"/>
                <w:szCs w:val="20"/>
              </w:rPr>
              <w:t>% su politiche attive (esclusi servizi per l’impiego)</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27,3</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31,1</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32,2</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35,0</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38,9</w:t>
            </w:r>
          </w:p>
        </w:tc>
        <w:tc>
          <w:tcPr>
            <w:tcW w:w="973" w:type="dxa"/>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39,6</w:t>
            </w:r>
          </w:p>
        </w:tc>
      </w:tr>
      <w:tr w:rsidR="008530E1" w:rsidRPr="00346EE6" w:rsidTr="00CA64D3">
        <w:trPr>
          <w:trHeight w:val="317"/>
        </w:trPr>
        <w:tc>
          <w:tcPr>
            <w:tcW w:w="3969" w:type="dxa"/>
            <w:tcBorders>
              <w:bottom w:val="single" w:sz="4" w:space="0" w:color="auto"/>
            </w:tcBorders>
          </w:tcPr>
          <w:p w:rsidR="008530E1" w:rsidRPr="00346EE6" w:rsidRDefault="008530E1" w:rsidP="00CA64D3">
            <w:pPr>
              <w:rPr>
                <w:rFonts w:ascii="Times New Roman" w:hAnsi="Times New Roman"/>
                <w:sz w:val="20"/>
                <w:szCs w:val="20"/>
              </w:rPr>
            </w:pPr>
            <w:r w:rsidRPr="00346EE6">
              <w:rPr>
                <w:rFonts w:ascii="Times New Roman" w:hAnsi="Times New Roman"/>
                <w:sz w:val="20"/>
                <w:szCs w:val="20"/>
              </w:rPr>
              <w:t>% su politiche attive e passive</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12,8</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12,9</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12,6</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13,6</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13,5</w:t>
            </w:r>
          </w:p>
        </w:tc>
        <w:tc>
          <w:tcPr>
            <w:tcW w:w="973" w:type="dxa"/>
            <w:tcBorders>
              <w:bottom w:val="single" w:sz="4" w:space="0" w:color="auto"/>
            </w:tcBorders>
            <w:vAlign w:val="center"/>
          </w:tcPr>
          <w:p w:rsidR="008530E1" w:rsidRPr="00346EE6" w:rsidRDefault="008530E1" w:rsidP="00CA64D3">
            <w:pPr>
              <w:jc w:val="right"/>
              <w:rPr>
                <w:rFonts w:ascii="Times New Roman" w:hAnsi="Times New Roman"/>
                <w:sz w:val="20"/>
                <w:szCs w:val="20"/>
              </w:rPr>
            </w:pPr>
            <w:r w:rsidRPr="00346EE6">
              <w:rPr>
                <w:rFonts w:ascii="Times New Roman" w:hAnsi="Times New Roman"/>
                <w:sz w:val="20"/>
                <w:szCs w:val="20"/>
              </w:rPr>
              <w:t>8,7</w:t>
            </w:r>
          </w:p>
        </w:tc>
      </w:tr>
    </w:tbl>
    <w:p w:rsidR="008530E1" w:rsidRPr="00346EE6" w:rsidRDefault="008530E1" w:rsidP="008530E1">
      <w:pPr>
        <w:spacing w:after="120"/>
        <w:rPr>
          <w:rFonts w:ascii="Times New Roman" w:hAnsi="Times New Roman"/>
          <w:sz w:val="18"/>
          <w:szCs w:val="18"/>
        </w:rPr>
      </w:pPr>
      <w:r w:rsidRPr="00346EE6">
        <w:rPr>
          <w:rFonts w:ascii="Times New Roman" w:hAnsi="Times New Roman"/>
          <w:i/>
          <w:sz w:val="18"/>
          <w:szCs w:val="18"/>
        </w:rPr>
        <w:t>Fonte</w:t>
      </w:r>
      <w:r w:rsidRPr="00346EE6">
        <w:rPr>
          <w:rFonts w:ascii="Times New Roman" w:hAnsi="Times New Roman"/>
          <w:sz w:val="18"/>
          <w:szCs w:val="18"/>
        </w:rPr>
        <w:t>: elaborazion</w:t>
      </w:r>
      <w:r>
        <w:rPr>
          <w:rFonts w:ascii="Times New Roman" w:hAnsi="Times New Roman"/>
          <w:sz w:val="18"/>
          <w:szCs w:val="18"/>
        </w:rPr>
        <w:t>e Isfol su dati del Ministero dell’Economia e delle F</w:t>
      </w:r>
      <w:r w:rsidRPr="00346EE6">
        <w:rPr>
          <w:rFonts w:ascii="Times New Roman" w:hAnsi="Times New Roman"/>
          <w:sz w:val="18"/>
          <w:szCs w:val="18"/>
        </w:rPr>
        <w:t>inanze</w:t>
      </w:r>
      <w:r>
        <w:rPr>
          <w:rFonts w:ascii="Times New Roman" w:hAnsi="Times New Roman"/>
          <w:sz w:val="18"/>
          <w:szCs w:val="18"/>
        </w:rPr>
        <w:t>.</w:t>
      </w:r>
    </w:p>
    <w:p w:rsidR="008530E1" w:rsidRDefault="008530E1" w:rsidP="008530E1">
      <w:pPr>
        <w:autoSpaceDE w:val="0"/>
        <w:autoSpaceDN w:val="0"/>
        <w:adjustRightInd w:val="0"/>
        <w:spacing w:after="0" w:line="240" w:lineRule="auto"/>
        <w:jc w:val="both"/>
        <w:rPr>
          <w:rFonts w:ascii="Tahoma" w:hAnsi="Tahoma" w:cs="Tahoma"/>
        </w:rPr>
      </w:pPr>
    </w:p>
    <w:p w:rsidR="008530E1" w:rsidRPr="00346EE6" w:rsidRDefault="008530E1" w:rsidP="008530E1">
      <w:pPr>
        <w:autoSpaceDE w:val="0"/>
        <w:autoSpaceDN w:val="0"/>
        <w:adjustRightInd w:val="0"/>
        <w:spacing w:after="0" w:line="240" w:lineRule="auto"/>
        <w:jc w:val="both"/>
        <w:rPr>
          <w:rFonts w:ascii="Times New Roman" w:hAnsi="Times New Roman"/>
          <w:sz w:val="24"/>
          <w:szCs w:val="24"/>
        </w:rPr>
      </w:pPr>
      <w:r w:rsidRPr="00346EE6">
        <w:rPr>
          <w:rFonts w:ascii="Times New Roman" w:hAnsi="Times New Roman"/>
          <w:sz w:val="24"/>
          <w:szCs w:val="24"/>
        </w:rPr>
        <w:t>Nell’ambito della spesa per le politiche del lavoro, l’apprendistato continua ad avere un peso consistente</w:t>
      </w:r>
      <w:r>
        <w:rPr>
          <w:rFonts w:ascii="Times New Roman" w:hAnsi="Times New Roman"/>
          <w:sz w:val="24"/>
          <w:szCs w:val="24"/>
        </w:rPr>
        <w:t>,</w:t>
      </w:r>
      <w:r w:rsidRPr="00346EE6">
        <w:rPr>
          <w:rFonts w:ascii="Times New Roman" w:hAnsi="Times New Roman"/>
          <w:sz w:val="24"/>
          <w:szCs w:val="24"/>
        </w:rPr>
        <w:t xml:space="preserve"> considerando che il costo sostenuto per le sottocontribuzioni e per la formazione</w:t>
      </w:r>
      <w:r>
        <w:rPr>
          <w:rFonts w:ascii="Times New Roman" w:hAnsi="Times New Roman"/>
          <w:sz w:val="24"/>
          <w:szCs w:val="24"/>
        </w:rPr>
        <w:t xml:space="preserve"> è pari al</w:t>
      </w:r>
      <w:r w:rsidRPr="00346EE6">
        <w:rPr>
          <w:rFonts w:ascii="Times New Roman" w:hAnsi="Times New Roman"/>
          <w:sz w:val="24"/>
          <w:szCs w:val="24"/>
        </w:rPr>
        <w:t xml:space="preserve"> 44% del t</w:t>
      </w:r>
      <w:r>
        <w:rPr>
          <w:rFonts w:ascii="Times New Roman" w:hAnsi="Times New Roman"/>
          <w:sz w:val="24"/>
          <w:szCs w:val="24"/>
        </w:rPr>
        <w:t>otale speso per gli incentivi a</w:t>
      </w:r>
      <w:r w:rsidRPr="00346EE6">
        <w:rPr>
          <w:rFonts w:ascii="Times New Roman" w:hAnsi="Times New Roman"/>
          <w:sz w:val="24"/>
          <w:szCs w:val="24"/>
        </w:rPr>
        <w:t>ll’occupazione (comprensivi</w:t>
      </w:r>
      <w:r>
        <w:rPr>
          <w:rFonts w:ascii="Times New Roman" w:hAnsi="Times New Roman"/>
          <w:sz w:val="24"/>
          <w:szCs w:val="24"/>
        </w:rPr>
        <w:t xml:space="preserve"> della spesa per la formazione) e</w:t>
      </w:r>
      <w:r w:rsidRPr="00346EE6">
        <w:rPr>
          <w:rFonts w:ascii="Times New Roman" w:hAnsi="Times New Roman"/>
          <w:sz w:val="24"/>
          <w:szCs w:val="24"/>
        </w:rPr>
        <w:t xml:space="preserve"> rappresenta il 39,6% della spesa total</w:t>
      </w:r>
      <w:r>
        <w:rPr>
          <w:rFonts w:ascii="Times New Roman" w:hAnsi="Times New Roman"/>
          <w:sz w:val="24"/>
          <w:szCs w:val="24"/>
        </w:rPr>
        <w:t>e per le politiche attive del</w:t>
      </w:r>
      <w:r w:rsidRPr="00346EE6">
        <w:rPr>
          <w:rFonts w:ascii="Times New Roman" w:hAnsi="Times New Roman"/>
          <w:sz w:val="24"/>
          <w:szCs w:val="24"/>
        </w:rPr>
        <w:t xml:space="preserve"> lavoro. Diminuisce, invece, rispetto al</w:t>
      </w:r>
      <w:r>
        <w:rPr>
          <w:rFonts w:ascii="Times New Roman" w:hAnsi="Times New Roman"/>
          <w:sz w:val="24"/>
          <w:szCs w:val="24"/>
        </w:rPr>
        <w:t xml:space="preserve">l’anno precedente, </w:t>
      </w:r>
      <w:r w:rsidRPr="00346EE6">
        <w:rPr>
          <w:rFonts w:ascii="Times New Roman" w:hAnsi="Times New Roman"/>
          <w:sz w:val="24"/>
          <w:szCs w:val="24"/>
        </w:rPr>
        <w:t>il volume della spesa per l’apprendistato</w:t>
      </w:r>
      <w:r>
        <w:rPr>
          <w:rFonts w:ascii="Times New Roman" w:hAnsi="Times New Roman"/>
          <w:sz w:val="24"/>
          <w:szCs w:val="24"/>
        </w:rPr>
        <w:t>,</w:t>
      </w:r>
      <w:r w:rsidRPr="00346EE6">
        <w:rPr>
          <w:rFonts w:ascii="Times New Roman" w:hAnsi="Times New Roman"/>
          <w:sz w:val="24"/>
          <w:szCs w:val="24"/>
        </w:rPr>
        <w:t xml:space="preserve"> che si contrae di circa il 7%</w:t>
      </w:r>
      <w:r>
        <w:rPr>
          <w:rFonts w:ascii="Times New Roman" w:hAnsi="Times New Roman"/>
          <w:sz w:val="24"/>
          <w:szCs w:val="24"/>
        </w:rPr>
        <w:t xml:space="preserve">; di conseguenza si registra anche una riduzione dell’incidenza dell’investimento in apprendistato </w:t>
      </w:r>
      <w:r w:rsidRPr="00346EE6">
        <w:rPr>
          <w:rFonts w:ascii="Times New Roman" w:hAnsi="Times New Roman"/>
          <w:sz w:val="24"/>
          <w:szCs w:val="24"/>
        </w:rPr>
        <w:t xml:space="preserve">sulla spesa complessiva per </w:t>
      </w:r>
      <w:r>
        <w:rPr>
          <w:rFonts w:ascii="Times New Roman" w:hAnsi="Times New Roman"/>
          <w:sz w:val="24"/>
          <w:szCs w:val="24"/>
        </w:rPr>
        <w:t xml:space="preserve">le </w:t>
      </w:r>
      <w:r w:rsidRPr="00346EE6">
        <w:rPr>
          <w:rFonts w:ascii="Times New Roman" w:hAnsi="Times New Roman"/>
          <w:sz w:val="24"/>
          <w:szCs w:val="24"/>
        </w:rPr>
        <w:t>poli</w:t>
      </w:r>
      <w:r>
        <w:rPr>
          <w:rFonts w:ascii="Times New Roman" w:hAnsi="Times New Roman"/>
          <w:sz w:val="24"/>
          <w:szCs w:val="24"/>
        </w:rPr>
        <w:t>tiche attive e passive (8,7%).</w:t>
      </w:r>
      <w:r w:rsidRPr="00346EE6">
        <w:rPr>
          <w:rFonts w:ascii="Times New Roman" w:hAnsi="Times New Roman"/>
          <w:sz w:val="24"/>
          <w:szCs w:val="24"/>
        </w:rPr>
        <w:t xml:space="preserve"> </w:t>
      </w:r>
    </w:p>
    <w:p w:rsidR="00376FB4" w:rsidRDefault="00376FB4"/>
    <w:sectPr w:rsidR="00376FB4" w:rsidSect="00376FB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0E1" w:rsidRDefault="008530E1" w:rsidP="008530E1">
      <w:pPr>
        <w:spacing w:after="0" w:line="240" w:lineRule="auto"/>
      </w:pPr>
      <w:r>
        <w:separator/>
      </w:r>
    </w:p>
  </w:endnote>
  <w:endnote w:type="continuationSeparator" w:id="0">
    <w:p w:rsidR="008530E1" w:rsidRDefault="008530E1" w:rsidP="00853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0E1" w:rsidRDefault="008530E1" w:rsidP="008530E1">
      <w:pPr>
        <w:spacing w:after="0" w:line="240" w:lineRule="auto"/>
      </w:pPr>
      <w:r>
        <w:separator/>
      </w:r>
    </w:p>
  </w:footnote>
  <w:footnote w:type="continuationSeparator" w:id="0">
    <w:p w:rsidR="008530E1" w:rsidRDefault="008530E1" w:rsidP="008530E1">
      <w:pPr>
        <w:spacing w:after="0" w:line="240" w:lineRule="auto"/>
      </w:pPr>
      <w:r>
        <w:continuationSeparator/>
      </w:r>
    </w:p>
  </w:footnote>
  <w:footnote w:id="1">
    <w:p w:rsidR="008530E1" w:rsidRPr="00FD63B3" w:rsidRDefault="008530E1" w:rsidP="008530E1">
      <w:pPr>
        <w:spacing w:after="0" w:line="240" w:lineRule="auto"/>
        <w:jc w:val="both"/>
        <w:rPr>
          <w:rFonts w:ascii="Times New Roman" w:hAnsi="Times New Roman"/>
          <w:sz w:val="20"/>
          <w:szCs w:val="20"/>
        </w:rPr>
      </w:pPr>
      <w:r w:rsidRPr="00FD63B3">
        <w:rPr>
          <w:rStyle w:val="Rimandonotaapidipagina"/>
          <w:rFonts w:ascii="Times New Roman" w:hAnsi="Times New Roman"/>
          <w:sz w:val="18"/>
          <w:szCs w:val="18"/>
        </w:rPr>
        <w:footnoteRef/>
      </w:r>
      <w:r w:rsidRPr="00FD63B3">
        <w:rPr>
          <w:rFonts w:ascii="Times New Roman" w:hAnsi="Times New Roman"/>
          <w:sz w:val="18"/>
          <w:szCs w:val="18"/>
        </w:rPr>
        <w:t xml:space="preserve"> </w:t>
      </w:r>
      <w:r w:rsidRPr="00FD63B3">
        <w:rPr>
          <w:rFonts w:ascii="Times New Roman" w:hAnsi="Times New Roman"/>
          <w:sz w:val="20"/>
          <w:szCs w:val="20"/>
        </w:rPr>
        <w:t xml:space="preserve">Per gli apprendisti assunti sulla base del d.lgs. n. 276/03 e compatibilmente con le diverse regolamentazioni regionali e contrattuali, la formazione formale potrebbe essere erogata all’interno delle imprese; tale possibilità dovrebbe aver determinato un numero aggiuntivo di apprendisti coinvolti in interventi formativi, al momento non rilevabile. </w:t>
      </w:r>
    </w:p>
  </w:footnote>
  <w:footnote w:id="2">
    <w:p w:rsidR="008530E1" w:rsidRPr="00FD63B3" w:rsidRDefault="008530E1" w:rsidP="008530E1">
      <w:pPr>
        <w:pStyle w:val="Testonotaapidipagina"/>
        <w:jc w:val="both"/>
        <w:rPr>
          <w:rFonts w:ascii="Times New Roman" w:hAnsi="Times New Roman"/>
        </w:rPr>
      </w:pPr>
      <w:r w:rsidRPr="00FD63B3">
        <w:rPr>
          <w:rStyle w:val="Rimandonotaapidipagina"/>
          <w:rFonts w:ascii="Times New Roman" w:hAnsi="Times New Roman"/>
        </w:rPr>
        <w:footnoteRef/>
      </w:r>
      <w:r w:rsidRPr="00FD63B3">
        <w:rPr>
          <w:rFonts w:ascii="Times New Roman" w:hAnsi="Times New Roman"/>
        </w:rPr>
        <w:t xml:space="preserve"> Il riconoscimento dell’assegno formativo all’apprendista prevedeva, infatti, la compartecipazione finanziaria dell’impresa, che contribuiva al costo della formazione per un importo non inferiore al 50% della quota annuale di partecipazione individuale.</w:t>
      </w:r>
    </w:p>
  </w:footnote>
  <w:footnote w:id="3">
    <w:p w:rsidR="008530E1" w:rsidRPr="00FD63B3" w:rsidRDefault="008530E1" w:rsidP="008530E1">
      <w:pPr>
        <w:pStyle w:val="Testonotaapidipagina"/>
        <w:rPr>
          <w:rFonts w:ascii="Times New Roman" w:hAnsi="Times New Roman"/>
        </w:rPr>
      </w:pPr>
      <w:r w:rsidRPr="00FD63B3">
        <w:rPr>
          <w:rStyle w:val="Rimandonotaapidipagina"/>
          <w:rFonts w:ascii="Times New Roman" w:hAnsi="Times New Roman"/>
        </w:rPr>
        <w:footnoteRef/>
      </w:r>
      <w:r w:rsidRPr="00FD63B3">
        <w:rPr>
          <w:rFonts w:ascii="Times New Roman" w:hAnsi="Times New Roman"/>
        </w:rPr>
        <w:t xml:space="preserve"> Molise 22,4% e Basilicata 22,1%.</w:t>
      </w:r>
    </w:p>
  </w:footnote>
  <w:footnote w:id="4">
    <w:p w:rsidR="008530E1" w:rsidRPr="00FD63B3" w:rsidRDefault="008530E1" w:rsidP="008530E1">
      <w:pPr>
        <w:pStyle w:val="Testonotaapidipagina"/>
        <w:rPr>
          <w:rFonts w:ascii="Times New Roman" w:hAnsi="Times New Roman"/>
        </w:rPr>
      </w:pPr>
      <w:r w:rsidRPr="00FD63B3">
        <w:rPr>
          <w:rStyle w:val="Rimandonotaapidipagina"/>
          <w:rFonts w:ascii="Times New Roman" w:hAnsi="Times New Roman"/>
        </w:rPr>
        <w:footnoteRef/>
      </w:r>
      <w:r w:rsidRPr="00FD63B3">
        <w:rPr>
          <w:rFonts w:ascii="Times New Roman" w:hAnsi="Times New Roman"/>
        </w:rPr>
        <w:t xml:space="preserve"> E’ stata esclusa </w:t>
      </w:r>
      <w:smartTag w:uri="urn:schemas-microsoft-com:office:smarttags" w:element="PersonName">
        <w:smartTagPr>
          <w:attr w:name="ProductID" w:val="La Campania"/>
        </w:smartTagPr>
        <w:r w:rsidRPr="00FD63B3">
          <w:rPr>
            <w:rFonts w:ascii="Times New Roman" w:hAnsi="Times New Roman"/>
          </w:rPr>
          <w:t>la Campania</w:t>
        </w:r>
      </w:smartTag>
      <w:r w:rsidRPr="00FD63B3">
        <w:rPr>
          <w:rFonts w:ascii="Times New Roman" w:hAnsi="Times New Roman"/>
        </w:rPr>
        <w:t xml:space="preserve"> per le ragioni sopra esposte.</w:t>
      </w:r>
    </w:p>
  </w:footnote>
  <w:footnote w:id="5">
    <w:p w:rsidR="008530E1" w:rsidRPr="00FD63B3" w:rsidRDefault="008530E1" w:rsidP="008530E1">
      <w:pPr>
        <w:pStyle w:val="Testonotaapidipagina"/>
        <w:jc w:val="both"/>
        <w:rPr>
          <w:rFonts w:ascii="Times New Roman" w:hAnsi="Times New Roman"/>
        </w:rPr>
      </w:pPr>
      <w:r w:rsidRPr="00FD63B3">
        <w:rPr>
          <w:rStyle w:val="Rimandonotaapidipagina"/>
          <w:rFonts w:ascii="Times New Roman" w:hAnsi="Times New Roman"/>
        </w:rPr>
        <w:footnoteRef/>
      </w:r>
      <w:r w:rsidRPr="00FD63B3">
        <w:rPr>
          <w:rFonts w:ascii="Times New Roman" w:hAnsi="Times New Roman"/>
        </w:rPr>
        <w:t xml:space="preserve"> Si ricorda che in relazione alla determinazione della durata della formazione formale per l’apprendistato professionalizzante il decreto legislativo n. 276/03 indicava come primo criterio direttivo per la definizione delle regolamentazione da parte delle Regioni e Province Autonome la “previsione di un monte ore di formazione formale, interna o esterna alla azienda, di almeno centoventi ore per anno”. La maggior parte delle Regioni ha riprodotto tale previsione e l’offerta pubblica è pressoché esclusivamente orientata ad erogare una formazione di 120 ore annue.</w:t>
      </w:r>
    </w:p>
  </w:footnote>
  <w:footnote w:id="6">
    <w:p w:rsidR="008530E1" w:rsidRDefault="008530E1" w:rsidP="008530E1">
      <w:pPr>
        <w:pStyle w:val="Testonotaapidipagina"/>
        <w:ind w:left="142" w:hanging="142"/>
        <w:jc w:val="both"/>
      </w:pPr>
      <w:r>
        <w:rPr>
          <w:rStyle w:val="Rimandonotaapidipagina"/>
        </w:rPr>
        <w:footnoteRef/>
      </w:r>
      <w:r>
        <w:t xml:space="preserve"> </w:t>
      </w:r>
      <w:r w:rsidRPr="003A7500">
        <w:rPr>
          <w:rFonts w:ascii="Times New Roman" w:hAnsi="Times New Roman"/>
        </w:rPr>
        <w:t>Piemonte, Valle d’Aosta, Lombardia, Veneto, Friuli Venezia Giulia, Liguria, Toscana, Marche, Lazio, Campania e Sardegna.</w:t>
      </w:r>
      <w:r>
        <w:t xml:space="preserve"> </w:t>
      </w:r>
    </w:p>
  </w:footnote>
  <w:footnote w:id="7">
    <w:p w:rsidR="008530E1" w:rsidRPr="00CD4294" w:rsidRDefault="008530E1" w:rsidP="008530E1">
      <w:pPr>
        <w:pStyle w:val="Testonotaapidipagina"/>
        <w:jc w:val="both"/>
        <w:rPr>
          <w:rFonts w:ascii="Times New Roman" w:hAnsi="Times New Roman"/>
        </w:rPr>
      </w:pPr>
      <w:r>
        <w:rPr>
          <w:rStyle w:val="Rimandonotaapidipagina"/>
        </w:rPr>
        <w:footnoteRef/>
      </w:r>
      <w:r>
        <w:t xml:space="preserve"> </w:t>
      </w:r>
      <w:r w:rsidRPr="00995F6C">
        <w:rPr>
          <w:rFonts w:ascii="Times New Roman" w:hAnsi="Times New Roman"/>
        </w:rPr>
        <w:t>Come previsto dal</w:t>
      </w:r>
      <w:r>
        <w:rPr>
          <w:rFonts w:ascii="Times New Roman" w:hAnsi="Times New Roman"/>
        </w:rPr>
        <w:t xml:space="preserve"> decreto legislativo n. 276/03.</w:t>
      </w:r>
    </w:p>
  </w:footnote>
  <w:footnote w:id="8">
    <w:p w:rsidR="008530E1" w:rsidRPr="00CD4294" w:rsidRDefault="008530E1" w:rsidP="008530E1">
      <w:pPr>
        <w:pStyle w:val="Testonotaapidipagina"/>
      </w:pPr>
      <w:r>
        <w:rPr>
          <w:rStyle w:val="Rimandonotaapidipagina"/>
        </w:rPr>
        <w:footnoteRef/>
      </w:r>
      <w:r>
        <w:t xml:space="preserve"> </w:t>
      </w:r>
      <w:r w:rsidRPr="00CD4294">
        <w:rPr>
          <w:rFonts w:ascii="Times New Roman" w:hAnsi="Times New Roman"/>
        </w:rPr>
        <w:t>Cfr. tabella 1 allegato statistico.</w:t>
      </w:r>
    </w:p>
  </w:footnote>
  <w:footnote w:id="9">
    <w:p w:rsidR="008530E1" w:rsidRPr="009C6430" w:rsidRDefault="008530E1" w:rsidP="008530E1">
      <w:pPr>
        <w:pStyle w:val="Testonotaapidipagina"/>
        <w:ind w:left="142" w:hanging="142"/>
        <w:jc w:val="both"/>
        <w:rPr>
          <w:rFonts w:ascii="Times New Roman" w:hAnsi="Times New Roman"/>
        </w:rPr>
      </w:pPr>
      <w:r w:rsidRPr="00FA3E54">
        <w:rPr>
          <w:rStyle w:val="Rimandonotaapidipagina"/>
          <w:rFonts w:ascii="Times New Roman" w:hAnsi="Times New Roman"/>
        </w:rPr>
        <w:footnoteRef/>
      </w:r>
      <w:r w:rsidRPr="00FA3E54">
        <w:rPr>
          <w:rFonts w:ascii="Times New Roman" w:hAnsi="Times New Roman"/>
        </w:rPr>
        <w:t xml:space="preserve"> </w:t>
      </w:r>
      <w:r w:rsidRPr="009C6430">
        <w:rPr>
          <w:rFonts w:ascii="Times New Roman" w:hAnsi="Times New Roman"/>
        </w:rPr>
        <w:t>Il dettaglio per Regione e Provincia Autonoma degli impegni per l’apprendistato è disponibile nell’allegato statistico (tabella 7).</w:t>
      </w:r>
    </w:p>
  </w:footnote>
  <w:footnote w:id="10">
    <w:p w:rsidR="008530E1" w:rsidRPr="005A19CD" w:rsidRDefault="008530E1" w:rsidP="008530E1">
      <w:pPr>
        <w:pStyle w:val="Testonotaapidipagina"/>
        <w:jc w:val="both"/>
        <w:rPr>
          <w:rFonts w:ascii="Times New Roman" w:hAnsi="Times New Roman"/>
        </w:rPr>
      </w:pPr>
      <w:r w:rsidRPr="00D60951">
        <w:rPr>
          <w:rStyle w:val="Rimandonotaapidipagina"/>
          <w:rFonts w:ascii="Times New Roman" w:hAnsi="Times New Roman"/>
        </w:rPr>
        <w:footnoteRef/>
      </w:r>
      <w:r w:rsidRPr="005A19CD">
        <w:rPr>
          <w:rFonts w:ascii="Times New Roman" w:hAnsi="Times New Roman"/>
        </w:rPr>
        <w:t xml:space="preserve">Il dettaglio delle risorse impegnate per fonte di finanziamento e per Regione e Provincia Autonoma è disponibile nell’allegato statistico (tabella 5). </w:t>
      </w:r>
    </w:p>
  </w:footnote>
  <w:footnote w:id="11">
    <w:p w:rsidR="008530E1" w:rsidRPr="005A19CD" w:rsidRDefault="008530E1" w:rsidP="008530E1">
      <w:pPr>
        <w:pStyle w:val="Testonotaapidipagina"/>
        <w:rPr>
          <w:rFonts w:ascii="Times New Roman" w:hAnsi="Times New Roman"/>
        </w:rPr>
      </w:pPr>
      <w:r w:rsidRPr="005A19CD">
        <w:rPr>
          <w:rStyle w:val="Rimandonotaapidipagina"/>
          <w:rFonts w:ascii="Times New Roman" w:hAnsi="Times New Roman"/>
        </w:rPr>
        <w:footnoteRef/>
      </w:r>
      <w:r w:rsidRPr="005A19CD">
        <w:rPr>
          <w:rFonts w:ascii="Times New Roman" w:hAnsi="Times New Roman"/>
        </w:rPr>
        <w:t xml:space="preserve"> Il dettaglio delle risorse impegnate per tipologia di apprendistato è disponibile nell’allegato statistico (tabella 6)</w:t>
      </w:r>
      <w:r>
        <w:rPr>
          <w:rFonts w:ascii="Times New Roman" w:hAnsi="Times New Roman"/>
        </w:rPr>
        <w:t>.</w:t>
      </w:r>
    </w:p>
  </w:footnote>
  <w:footnote w:id="12">
    <w:p w:rsidR="008530E1" w:rsidRPr="009C6430" w:rsidRDefault="008530E1" w:rsidP="008530E1">
      <w:pPr>
        <w:pStyle w:val="Testonotaapidipagina"/>
        <w:jc w:val="both"/>
        <w:rPr>
          <w:rFonts w:ascii="Times New Roman" w:hAnsi="Times New Roman"/>
        </w:rPr>
      </w:pPr>
      <w:r w:rsidRPr="009C6430">
        <w:rPr>
          <w:rStyle w:val="Rimandonotaapidipagina"/>
          <w:rFonts w:ascii="Times New Roman" w:hAnsi="Times New Roman"/>
        </w:rPr>
        <w:footnoteRef/>
      </w:r>
      <w:r w:rsidRPr="009C6430">
        <w:rPr>
          <w:rFonts w:ascii="Times New Roman" w:hAnsi="Times New Roman"/>
        </w:rPr>
        <w:t xml:space="preserve"> Il dettaglio per Regione e Provincia Autonoma della spesa per l’apprendistato è disponibile nell’allegato statistico (tabella 10).</w:t>
      </w:r>
    </w:p>
  </w:footnote>
  <w:footnote w:id="13">
    <w:p w:rsidR="008530E1" w:rsidRPr="009C6430" w:rsidRDefault="008530E1" w:rsidP="008530E1">
      <w:pPr>
        <w:autoSpaceDE w:val="0"/>
        <w:autoSpaceDN w:val="0"/>
        <w:adjustRightInd w:val="0"/>
        <w:spacing w:after="0" w:line="240" w:lineRule="auto"/>
        <w:ind w:left="142" w:hanging="142"/>
        <w:jc w:val="both"/>
        <w:rPr>
          <w:rFonts w:ascii="Times New Roman" w:hAnsi="Times New Roman"/>
          <w:sz w:val="20"/>
          <w:szCs w:val="20"/>
        </w:rPr>
      </w:pPr>
      <w:r w:rsidRPr="00346EE6">
        <w:rPr>
          <w:rStyle w:val="Rimandonotaapidipagina"/>
          <w:rFonts w:ascii="Times New Roman" w:hAnsi="Times New Roman"/>
          <w:sz w:val="20"/>
          <w:szCs w:val="20"/>
        </w:rPr>
        <w:footnoteRef/>
      </w:r>
      <w:r w:rsidRPr="00346EE6">
        <w:rPr>
          <w:rFonts w:ascii="Times New Roman" w:hAnsi="Times New Roman"/>
          <w:sz w:val="20"/>
          <w:szCs w:val="20"/>
        </w:rPr>
        <w:t xml:space="preserve"> </w:t>
      </w:r>
      <w:r w:rsidRPr="009C6430">
        <w:rPr>
          <w:rFonts w:ascii="Times New Roman" w:hAnsi="Times New Roman"/>
          <w:sz w:val="20"/>
          <w:szCs w:val="20"/>
        </w:rPr>
        <w:t>Al fine di avere una misura reale della capacità di spesa, tale indicatore andrebbe letto in un quadro più ampio, insieme ad altri indicatori finanziari e su un periodo di tempo più lungo.</w:t>
      </w:r>
    </w:p>
  </w:footnote>
  <w:footnote w:id="14">
    <w:p w:rsidR="008530E1" w:rsidRPr="009C6430" w:rsidRDefault="008530E1" w:rsidP="008530E1">
      <w:pPr>
        <w:pStyle w:val="Testonotaapidipagina"/>
        <w:jc w:val="both"/>
        <w:rPr>
          <w:rFonts w:ascii="Times New Roman" w:hAnsi="Times New Roman"/>
        </w:rPr>
      </w:pPr>
      <w:r w:rsidRPr="009C6430">
        <w:rPr>
          <w:rStyle w:val="Rimandonotaapidipagina"/>
          <w:rFonts w:ascii="Times New Roman" w:hAnsi="Times New Roman"/>
        </w:rPr>
        <w:footnoteRef/>
      </w:r>
      <w:r w:rsidRPr="009C6430">
        <w:rPr>
          <w:rFonts w:ascii="Times New Roman" w:hAnsi="Times New Roman"/>
        </w:rPr>
        <w:t xml:space="preserve"> Cfr. allegato statistico (tabella 13).</w:t>
      </w:r>
    </w:p>
  </w:footnote>
  <w:footnote w:id="15">
    <w:p w:rsidR="008530E1" w:rsidRPr="009C6430" w:rsidRDefault="008530E1" w:rsidP="008530E1">
      <w:pPr>
        <w:autoSpaceDE w:val="0"/>
        <w:autoSpaceDN w:val="0"/>
        <w:adjustRightInd w:val="0"/>
        <w:spacing w:after="0" w:line="240" w:lineRule="auto"/>
        <w:ind w:left="142" w:hanging="142"/>
        <w:jc w:val="both"/>
        <w:rPr>
          <w:rFonts w:ascii="Times New Roman" w:hAnsi="Times New Roman"/>
          <w:sz w:val="20"/>
          <w:szCs w:val="20"/>
        </w:rPr>
      </w:pPr>
      <w:r w:rsidRPr="009C6430">
        <w:rPr>
          <w:rStyle w:val="Rimandonotaapidipagina"/>
          <w:rFonts w:ascii="Times New Roman" w:hAnsi="Times New Roman"/>
          <w:sz w:val="20"/>
          <w:szCs w:val="20"/>
        </w:rPr>
        <w:footnoteRef/>
      </w:r>
      <w:r w:rsidRPr="009C6430">
        <w:rPr>
          <w:rFonts w:ascii="Times New Roman" w:hAnsi="Times New Roman"/>
          <w:sz w:val="20"/>
          <w:szCs w:val="20"/>
        </w:rPr>
        <w:t xml:space="preserve"> La serie storica dei dati di dettaglio sulle risorse impegnate e spese dalle Regioni e </w:t>
      </w:r>
      <w:r>
        <w:rPr>
          <w:rFonts w:ascii="Times New Roman" w:hAnsi="Times New Roman"/>
          <w:sz w:val="20"/>
          <w:szCs w:val="20"/>
        </w:rPr>
        <w:t xml:space="preserve">dalle </w:t>
      </w:r>
      <w:r w:rsidRPr="009C6430">
        <w:rPr>
          <w:rFonts w:ascii="Times New Roman" w:hAnsi="Times New Roman"/>
          <w:sz w:val="20"/>
          <w:szCs w:val="20"/>
        </w:rPr>
        <w:t>Province Autonome per l’apprendistato dal 2004 al 2011 è disponibile nell’allegato statistico (tabelle 12 e 14).</w:t>
      </w:r>
    </w:p>
  </w:footnote>
  <w:footnote w:id="16">
    <w:p w:rsidR="008530E1" w:rsidRDefault="008530E1" w:rsidP="008530E1">
      <w:pPr>
        <w:pStyle w:val="Testonotaapidipagina"/>
      </w:pPr>
      <w:r w:rsidRPr="00A651A0">
        <w:rPr>
          <w:rStyle w:val="Rimandonotaapidipagina"/>
        </w:rPr>
        <w:footnoteRef/>
      </w:r>
      <w:r w:rsidRPr="00A651A0">
        <w:t xml:space="preserve"> </w:t>
      </w:r>
      <w:r w:rsidRPr="00A651A0">
        <w:rPr>
          <w:rFonts w:ascii="Times New Roman" w:hAnsi="Times New Roman"/>
        </w:rPr>
        <w:t>Cfr. allegato statistico (tabelle 11 e 12).</w:t>
      </w:r>
    </w:p>
  </w:footnote>
  <w:footnote w:id="17">
    <w:p w:rsidR="008530E1" w:rsidRDefault="008530E1" w:rsidP="008530E1">
      <w:pPr>
        <w:pStyle w:val="Testonotaapidipagina"/>
      </w:pPr>
      <w:r>
        <w:rPr>
          <w:rStyle w:val="Rimandonotaapidipagina"/>
        </w:rPr>
        <w:footnoteRef/>
      </w:r>
      <w:r>
        <w:t xml:space="preserve"> </w:t>
      </w:r>
      <w:r w:rsidRPr="009262B4">
        <w:rPr>
          <w:rFonts w:ascii="Times New Roman" w:hAnsi="Times New Roman"/>
        </w:rPr>
        <w:t>Cfr. allegato statistico (tabella 13).</w:t>
      </w:r>
    </w:p>
  </w:footnote>
  <w:footnote w:id="18">
    <w:p w:rsidR="008530E1" w:rsidRPr="00074950" w:rsidRDefault="008530E1" w:rsidP="008530E1">
      <w:pPr>
        <w:pStyle w:val="Testonotaapidipagina"/>
        <w:ind w:left="180" w:hanging="180"/>
        <w:jc w:val="both"/>
        <w:rPr>
          <w:rStyle w:val="Caratteredellanota"/>
          <w:rFonts w:ascii="Times New Roman" w:hAnsi="Times New Roman"/>
        </w:rPr>
      </w:pPr>
      <w:r w:rsidRPr="00074950">
        <w:rPr>
          <w:rStyle w:val="Caratteredellanota"/>
          <w:rFonts w:ascii="Times New Roman" w:hAnsi="Times New Roman"/>
          <w:vertAlign w:val="superscript"/>
        </w:rPr>
        <w:footnoteRef/>
      </w:r>
      <w:r w:rsidRPr="00074950">
        <w:rPr>
          <w:rStyle w:val="Caratteredellanota"/>
          <w:rFonts w:ascii="Times New Roman" w:hAnsi="Times New Roman"/>
          <w:vertAlign w:val="superscript"/>
        </w:rPr>
        <w:t xml:space="preserve"> </w:t>
      </w:r>
      <w:smartTag w:uri="urn:schemas-microsoft-com:office:smarttags" w:element="PersonName">
        <w:smartTagPr>
          <w:attr w:name="ProductID" w:val="La Relazione"/>
        </w:smartTagPr>
        <w:r w:rsidRPr="00074950">
          <w:rPr>
            <w:rStyle w:val="Caratteredellanota"/>
            <w:rFonts w:ascii="Times New Roman" w:hAnsi="Times New Roman"/>
          </w:rPr>
          <w:t>La Relazione</w:t>
        </w:r>
      </w:smartTag>
      <w:r w:rsidRPr="00074950">
        <w:rPr>
          <w:rStyle w:val="Caratteredellanota"/>
          <w:rFonts w:ascii="Times New Roman" w:hAnsi="Times New Roman"/>
        </w:rPr>
        <w:t xml:space="preserve"> generale sulla situazione economica del Paese (2009) del Ministero dell’economia e della finanza riporta una rettifica all’ammontare della spesa per la “Formazione nell’esercizio dell’apprendistato, che per l’anno 2007 risulta pari a zero. Tale variazione, quindi, influisce sul totale della spesa per l’apprendistato.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FD176E"/>
    <w:multiLevelType w:val="multilevel"/>
    <w:tmpl w:val="CCE88896"/>
    <w:lvl w:ilvl="0">
      <w:start w:val="3"/>
      <w:numFmt w:val="decimal"/>
      <w:lvlText w:val="%1"/>
      <w:lvlJc w:val="left"/>
      <w:pPr>
        <w:ind w:left="927"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8530E1"/>
    <w:rsid w:val="00376FB4"/>
    <w:rsid w:val="008530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30E1"/>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530E1"/>
    <w:pPr>
      <w:ind w:left="720"/>
      <w:contextualSpacing/>
    </w:p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unhideWhenUsed/>
    <w:rsid w:val="008530E1"/>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8530E1"/>
    <w:rPr>
      <w:rFonts w:ascii="Calibri" w:eastAsia="Calibri" w:hAnsi="Calibri" w:cs="Times New Roman"/>
      <w:sz w:val="20"/>
      <w:szCs w:val="20"/>
    </w:rPr>
  </w:style>
  <w:style w:type="character" w:styleId="Rimandonotaapidipagina">
    <w:name w:val="footnote reference"/>
    <w:basedOn w:val="Carpredefinitoparagrafo"/>
    <w:uiPriority w:val="99"/>
    <w:semiHidden/>
    <w:unhideWhenUsed/>
    <w:rsid w:val="008530E1"/>
    <w:rPr>
      <w:vertAlign w:val="superscript"/>
    </w:rPr>
  </w:style>
  <w:style w:type="character" w:customStyle="1" w:styleId="Caratteredellanota">
    <w:name w:val="Carattere della nota"/>
    <w:rsid w:val="008530E1"/>
  </w:style>
  <w:style w:type="paragraph" w:customStyle="1" w:styleId="NormalWeb">
    <w:name w:val="Normal (Web)"/>
    <w:rsid w:val="008530E1"/>
    <w:pPr>
      <w:widowControl w:val="0"/>
      <w:suppressAutoHyphens/>
      <w:spacing w:after="0" w:line="100" w:lineRule="atLeast"/>
    </w:pPr>
    <w:rPr>
      <w:rFonts w:ascii="Times New Roman" w:eastAsia="Times New Roman" w:hAnsi="Times New Roman" w:cs="Times New Roman"/>
      <w:kern w:val="1"/>
      <w:sz w:val="24"/>
      <w:szCs w:val="24"/>
      <w:lang w:eastAsia="ar-SA"/>
    </w:rPr>
  </w:style>
  <w:style w:type="paragraph" w:styleId="Testofumetto">
    <w:name w:val="Balloon Text"/>
    <w:basedOn w:val="Normale"/>
    <w:link w:val="TestofumettoCarattere"/>
    <w:uiPriority w:val="99"/>
    <w:semiHidden/>
    <w:unhideWhenUsed/>
    <w:rsid w:val="008530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30E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ileserver\Utenti\a.scatigno\rapporto%20monitoraggio%202012\Esempi%20grafi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30"/>
  <c:chart>
    <c:autoTitleDeleted val="1"/>
    <c:plotArea>
      <c:layout/>
      <c:barChart>
        <c:barDir val="col"/>
        <c:grouping val="clustered"/>
        <c:ser>
          <c:idx val="0"/>
          <c:order val="0"/>
          <c:tx>
            <c:v>2010</c:v>
          </c:tx>
          <c:cat>
            <c:strRef>
              <c:f>Foglio1!$B$28:$B$32</c:f>
              <c:strCache>
                <c:ptCount val="5"/>
                <c:pt idx="0">
                  <c:v>Nord-Ovest</c:v>
                </c:pt>
                <c:pt idx="1">
                  <c:v>Nord-Est</c:v>
                </c:pt>
                <c:pt idx="2">
                  <c:v>Centro</c:v>
                </c:pt>
                <c:pt idx="3">
                  <c:v>Sud e Isole</c:v>
                </c:pt>
                <c:pt idx="4">
                  <c:v>Italia</c:v>
                </c:pt>
              </c:strCache>
            </c:strRef>
          </c:cat>
          <c:val>
            <c:numRef>
              <c:f>Foglio1!$D$28:$D$32</c:f>
              <c:numCache>
                <c:formatCode>General</c:formatCode>
                <c:ptCount val="5"/>
                <c:pt idx="0">
                  <c:v>26.7</c:v>
                </c:pt>
                <c:pt idx="1">
                  <c:v>41.3</c:v>
                </c:pt>
                <c:pt idx="2">
                  <c:v>14.8</c:v>
                </c:pt>
                <c:pt idx="3">
                  <c:v>19.3</c:v>
                </c:pt>
                <c:pt idx="4">
                  <c:v>26.3</c:v>
                </c:pt>
              </c:numCache>
            </c:numRef>
          </c:val>
        </c:ser>
        <c:ser>
          <c:idx val="1"/>
          <c:order val="1"/>
          <c:tx>
            <c:v>2011</c:v>
          </c:tx>
          <c:cat>
            <c:strRef>
              <c:f>Foglio1!$B$28:$B$32</c:f>
              <c:strCache>
                <c:ptCount val="5"/>
                <c:pt idx="0">
                  <c:v>Nord-Ovest</c:v>
                </c:pt>
                <c:pt idx="1">
                  <c:v>Nord-Est</c:v>
                </c:pt>
                <c:pt idx="2">
                  <c:v>Centro</c:v>
                </c:pt>
                <c:pt idx="3">
                  <c:v>Sud e Isole</c:v>
                </c:pt>
                <c:pt idx="4">
                  <c:v>Italia</c:v>
                </c:pt>
              </c:strCache>
            </c:strRef>
          </c:cat>
          <c:val>
            <c:numRef>
              <c:f>Foglio1!$F$28:$F$32</c:f>
              <c:numCache>
                <c:formatCode>0.0</c:formatCode>
                <c:ptCount val="5"/>
                <c:pt idx="0" formatCode="General">
                  <c:v>37.4</c:v>
                </c:pt>
                <c:pt idx="1">
                  <c:v>58</c:v>
                </c:pt>
                <c:pt idx="2" formatCode="General">
                  <c:v>12.8</c:v>
                </c:pt>
                <c:pt idx="3" formatCode="General">
                  <c:v>12.2</c:v>
                </c:pt>
                <c:pt idx="4" formatCode="General">
                  <c:v>32.1</c:v>
                </c:pt>
              </c:numCache>
            </c:numRef>
          </c:val>
        </c:ser>
        <c:dLbls>
          <c:showVal val="1"/>
        </c:dLbls>
        <c:gapWidth val="75"/>
        <c:axId val="82286080"/>
        <c:axId val="82929152"/>
      </c:barChart>
      <c:catAx>
        <c:axId val="82286080"/>
        <c:scaling>
          <c:orientation val="minMax"/>
        </c:scaling>
        <c:axPos val="b"/>
        <c:majorTickMark val="none"/>
        <c:tickLblPos val="nextTo"/>
        <c:crossAx val="82929152"/>
        <c:crosses val="autoZero"/>
        <c:auto val="1"/>
        <c:lblAlgn val="ctr"/>
        <c:lblOffset val="100"/>
      </c:catAx>
      <c:valAx>
        <c:axId val="82929152"/>
        <c:scaling>
          <c:orientation val="minMax"/>
        </c:scaling>
        <c:axPos val="l"/>
        <c:numFmt formatCode="General" sourceLinked="1"/>
        <c:majorTickMark val="none"/>
        <c:tickLblPos val="nextTo"/>
        <c:crossAx val="82286080"/>
        <c:crosses val="autoZero"/>
        <c:crossBetween val="between"/>
      </c:valAx>
    </c:plotArea>
    <c:legend>
      <c:legendPos val="b"/>
      <c:layout/>
    </c:legend>
    <c:plotVisOnly val="1"/>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4272</Words>
  <Characters>24351</Characters>
  <Application>Microsoft Office Word</Application>
  <DocSecurity>0</DocSecurity>
  <Lines>202</Lines>
  <Paragraphs>57</Paragraphs>
  <ScaleCrop>false</ScaleCrop>
  <Company/>
  <LinksUpToDate>false</LinksUpToDate>
  <CharactersWithSpaces>28566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v.cioccolo</dc:creator>
  <cp:keywords/>
  <dc:description/>
  <cp:lastModifiedBy>v.cioccolo</cp:lastModifiedBy>
  <cp:revision>1</cp:revision>
  <dcterms:created xsi:type="dcterms:W3CDTF">2013-03-22T08:40:00Z</dcterms:created>
  <dcterms:modified xsi:type="dcterms:W3CDTF">2013-03-22T08:41:00Z</dcterms:modified>
</cp:coreProperties>
</file>