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415F74" w14:textId="778E675C" w:rsidR="00FC385B" w:rsidRDefault="0058655B" w:rsidP="00C8615D">
      <w:bookmarkStart w:id="0" w:name="_MacBuGuideStaticData_1667V"/>
      <w:bookmarkStart w:id="1" w:name="_MacBuGuideStaticData_7320H"/>
      <w:bookmarkStart w:id="2" w:name="_MacBuGuideStaticData_4600V"/>
      <w:bookmarkStart w:id="3" w:name="_MacBuGuideStaticData_14573H"/>
      <w:bookmarkStart w:id="4" w:name="_MacBuGuideStaticData_15293H"/>
      <w:r w:rsidRPr="0058655B">
        <w:rPr>
          <w:noProof/>
          <w:lang w:val="it-IT" w:eastAsia="it-IT"/>
        </w:rPr>
        <w:drawing>
          <wp:anchor distT="0" distB="0" distL="114300" distR="114300" simplePos="0" relativeHeight="251667455" behindDoc="1" locked="0" layoutInCell="1" allowOverlap="1" wp14:anchorId="6DAF526F" wp14:editId="431D98AC">
            <wp:simplePos x="0" y="0"/>
            <wp:positionH relativeFrom="page">
              <wp:posOffset>0</wp:posOffset>
            </wp:positionH>
            <wp:positionV relativeFrom="page">
              <wp:posOffset>-9525</wp:posOffset>
            </wp:positionV>
            <wp:extent cx="7553325" cy="10687050"/>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rafica_cover_letteratura_grigia_1.png"/>
                    <pic:cNvPicPr/>
                  </pic:nvPicPr>
                  <pic:blipFill>
                    <a:blip r:embed="rId9">
                      <a:extLst>
                        <a:ext uri="{28A0092B-C50C-407E-A947-70E740481C1C}">
                          <a14:useLocalDpi xmlns:a14="http://schemas.microsoft.com/office/drawing/2010/main" val="0"/>
                        </a:ext>
                      </a:extLst>
                    </a:blip>
                    <a:stretch>
                      <a:fillRect/>
                    </a:stretch>
                  </pic:blipFill>
                  <pic:spPr>
                    <a:xfrm>
                      <a:off x="0" y="0"/>
                      <a:ext cx="7553325" cy="1068705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6F7CB44" w14:textId="77777777" w:rsidR="00FC385B" w:rsidRDefault="00FC385B" w:rsidP="00C8615D"/>
    <w:p w14:paraId="1B3DDFA6" w14:textId="77777777" w:rsidR="00FC385B" w:rsidRDefault="00FC385B" w:rsidP="00C8615D"/>
    <w:p w14:paraId="2FB9A52B" w14:textId="7ED90E36" w:rsidR="00FC385B" w:rsidRDefault="00FC385B" w:rsidP="00C8615D"/>
    <w:p w14:paraId="00022F80" w14:textId="77777777" w:rsidR="00FC385B" w:rsidRDefault="00FC385B" w:rsidP="00C8615D"/>
    <w:p w14:paraId="6EE502E9" w14:textId="78A4CEDB" w:rsidR="00FC385B" w:rsidRDefault="00FC385B" w:rsidP="00C8615D"/>
    <w:p w14:paraId="62AD9470" w14:textId="77777777" w:rsidR="00FC385B" w:rsidRDefault="00FC385B" w:rsidP="00C8615D"/>
    <w:p w14:paraId="382474C4" w14:textId="77777777" w:rsidR="00FC385B" w:rsidRDefault="00FC385B" w:rsidP="00C8615D"/>
    <w:p w14:paraId="69A04224" w14:textId="77777777" w:rsidR="00FC385B" w:rsidRDefault="00FC385B" w:rsidP="00C8615D"/>
    <w:p w14:paraId="44164F19" w14:textId="77777777" w:rsidR="00FC385B" w:rsidRDefault="00FC385B" w:rsidP="00C8615D"/>
    <w:p w14:paraId="26E53AC4" w14:textId="4532E97A" w:rsidR="00FC385B" w:rsidRPr="000E3B8D" w:rsidRDefault="003E76A6" w:rsidP="00C8615D">
      <w:pPr>
        <w:rPr>
          <w:lang w:val="it-IT"/>
        </w:rPr>
      </w:pPr>
      <w:r w:rsidRPr="000E3B8D">
        <w:rPr>
          <w:lang w:val="it-IT"/>
        </w:rPr>
        <w:softHyphen/>
      </w:r>
    </w:p>
    <w:p w14:paraId="430C2C06" w14:textId="77777777" w:rsidR="00FC385B" w:rsidRPr="000E3B8D" w:rsidRDefault="00FC385B" w:rsidP="00C8615D">
      <w:pPr>
        <w:rPr>
          <w:lang w:val="it-IT"/>
        </w:rPr>
      </w:pPr>
    </w:p>
    <w:p w14:paraId="4501AC35" w14:textId="77777777" w:rsidR="00FC385B" w:rsidRPr="000E3B8D" w:rsidRDefault="00FC385B" w:rsidP="00C8615D">
      <w:pPr>
        <w:rPr>
          <w:lang w:val="it-IT"/>
        </w:rPr>
      </w:pPr>
    </w:p>
    <w:p w14:paraId="6C3858C6" w14:textId="77777777" w:rsidR="00FC385B" w:rsidRPr="000E3B8D" w:rsidRDefault="00FC385B" w:rsidP="00C8615D">
      <w:pPr>
        <w:rPr>
          <w:lang w:val="it-IT"/>
        </w:rPr>
      </w:pPr>
    </w:p>
    <w:p w14:paraId="48B296DF" w14:textId="77777777" w:rsidR="00FC385B" w:rsidRPr="000E3B8D" w:rsidRDefault="00FC385B" w:rsidP="00C8615D">
      <w:pPr>
        <w:rPr>
          <w:lang w:val="it-IT"/>
        </w:rPr>
      </w:pPr>
    </w:p>
    <w:p w14:paraId="0652B511" w14:textId="1DB705C2" w:rsidR="00FC385B" w:rsidRPr="000E3B8D" w:rsidRDefault="00FC385B" w:rsidP="00C8615D">
      <w:pPr>
        <w:rPr>
          <w:lang w:val="it-IT"/>
        </w:rPr>
      </w:pPr>
    </w:p>
    <w:p w14:paraId="2DF90EAA" w14:textId="607285E9" w:rsidR="00FC385B" w:rsidRPr="000E3B8D" w:rsidRDefault="00FC385B" w:rsidP="00C8615D">
      <w:pPr>
        <w:rPr>
          <w:lang w:val="it-IT"/>
        </w:rPr>
      </w:pPr>
    </w:p>
    <w:p w14:paraId="46B46028" w14:textId="24882B84" w:rsidR="00FC385B" w:rsidRPr="000E3B8D" w:rsidRDefault="00AE6597" w:rsidP="00C8615D">
      <w:pPr>
        <w:rPr>
          <w:lang w:val="it-IT"/>
        </w:rPr>
      </w:pPr>
      <w:r>
        <w:rPr>
          <w:noProof/>
          <w:lang w:val="it-IT" w:eastAsia="it-IT"/>
        </w:rPr>
        <w:drawing>
          <wp:anchor distT="0" distB="0" distL="114300" distR="114300" simplePos="0" relativeHeight="251689984" behindDoc="1" locked="0" layoutInCell="1" allowOverlap="1" wp14:anchorId="487747FD" wp14:editId="73D72460">
            <wp:simplePos x="0" y="0"/>
            <wp:positionH relativeFrom="margin">
              <wp:posOffset>2520315</wp:posOffset>
            </wp:positionH>
            <wp:positionV relativeFrom="page">
              <wp:posOffset>3599815</wp:posOffset>
            </wp:positionV>
            <wp:extent cx="1743075" cy="720090"/>
            <wp:effectExtent l="0" t="0" r="0" b="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43075" cy="72009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0D9B48D" w14:textId="0D72FF7C" w:rsidR="00FC385B" w:rsidRPr="000E3B8D" w:rsidRDefault="00FC385B" w:rsidP="00C8615D">
      <w:pPr>
        <w:rPr>
          <w:lang w:val="it-IT"/>
        </w:rPr>
      </w:pPr>
    </w:p>
    <w:p w14:paraId="0AF04CC8" w14:textId="6F11CDF1" w:rsidR="00FC385B" w:rsidRPr="000E3B8D" w:rsidRDefault="00FC385B" w:rsidP="00C8615D">
      <w:pPr>
        <w:rPr>
          <w:lang w:val="it-IT"/>
        </w:rPr>
      </w:pPr>
    </w:p>
    <w:p w14:paraId="3FBE5A0A" w14:textId="55F360FD" w:rsidR="00FC385B" w:rsidRPr="000E3B8D" w:rsidRDefault="00FC385B" w:rsidP="00C8615D">
      <w:pPr>
        <w:rPr>
          <w:lang w:val="it-IT"/>
        </w:rPr>
      </w:pPr>
    </w:p>
    <w:p w14:paraId="0491131E" w14:textId="65A86EDC" w:rsidR="00FC385B" w:rsidRPr="000E3B8D" w:rsidRDefault="00FC385B" w:rsidP="00C8615D">
      <w:pPr>
        <w:rPr>
          <w:lang w:val="it-IT"/>
        </w:rPr>
      </w:pPr>
    </w:p>
    <w:p w14:paraId="4C972570" w14:textId="60EE431E" w:rsidR="00FC385B" w:rsidRPr="000E3B8D" w:rsidRDefault="00FC385B" w:rsidP="00C8615D">
      <w:pPr>
        <w:rPr>
          <w:lang w:val="it-IT"/>
        </w:rPr>
      </w:pPr>
    </w:p>
    <w:p w14:paraId="5D8414B9" w14:textId="7D461DE1" w:rsidR="00FC385B" w:rsidRPr="000E3B8D" w:rsidRDefault="00FC385B" w:rsidP="00C8615D">
      <w:pPr>
        <w:rPr>
          <w:lang w:val="it-IT"/>
        </w:rPr>
      </w:pPr>
    </w:p>
    <w:p w14:paraId="2F1BF1A6" w14:textId="77777777" w:rsidR="00FC385B" w:rsidRPr="000E3B8D" w:rsidRDefault="00FC385B" w:rsidP="00C8615D">
      <w:pPr>
        <w:rPr>
          <w:lang w:val="it-IT"/>
        </w:rPr>
      </w:pPr>
    </w:p>
    <w:p w14:paraId="5E122B1E" w14:textId="77777777" w:rsidR="00FC385B" w:rsidRPr="000E3B8D" w:rsidRDefault="00FC385B" w:rsidP="00C8615D">
      <w:pPr>
        <w:rPr>
          <w:lang w:val="it-IT"/>
        </w:rPr>
      </w:pPr>
    </w:p>
    <w:p w14:paraId="7A0D187A" w14:textId="77777777" w:rsidR="00FC385B" w:rsidRPr="000E3B8D" w:rsidRDefault="00FC385B" w:rsidP="00C8615D">
      <w:pPr>
        <w:rPr>
          <w:lang w:val="it-IT"/>
        </w:rPr>
      </w:pPr>
    </w:p>
    <w:p w14:paraId="637106D1" w14:textId="77777777" w:rsidR="00FC385B" w:rsidRPr="000E3B8D" w:rsidRDefault="00FC385B" w:rsidP="00C8615D">
      <w:pPr>
        <w:rPr>
          <w:lang w:val="it-IT"/>
        </w:rPr>
      </w:pPr>
    </w:p>
    <w:p w14:paraId="021F5B91" w14:textId="16129AF8" w:rsidR="00FC385B" w:rsidRPr="000E3B8D" w:rsidRDefault="001A1D8E" w:rsidP="00C8615D">
      <w:pPr>
        <w:rPr>
          <w:lang w:val="it-IT"/>
        </w:rPr>
      </w:pPr>
      <w:r>
        <w:rPr>
          <w:noProof/>
          <w:lang w:val="it-IT" w:eastAsia="it-IT"/>
        </w:rPr>
        <mc:AlternateContent>
          <mc:Choice Requires="wps">
            <w:drawing>
              <wp:anchor distT="0" distB="0" distL="114300" distR="114300" simplePos="0" relativeHeight="251670528" behindDoc="0" locked="0" layoutInCell="1" allowOverlap="1" wp14:anchorId="7755727D" wp14:editId="09257F5B">
                <wp:simplePos x="0" y="0"/>
                <wp:positionH relativeFrom="column">
                  <wp:posOffset>-459740</wp:posOffset>
                </wp:positionH>
                <wp:positionV relativeFrom="page">
                  <wp:posOffset>5429250</wp:posOffset>
                </wp:positionV>
                <wp:extent cx="6318885" cy="937895"/>
                <wp:effectExtent l="0" t="0" r="0" b="0"/>
                <wp:wrapTight wrapText="bothSides">
                  <wp:wrapPolygon edited="0">
                    <wp:start x="130" y="1316"/>
                    <wp:lineTo x="130" y="20181"/>
                    <wp:lineTo x="21359" y="20181"/>
                    <wp:lineTo x="21359" y="1316"/>
                    <wp:lineTo x="130" y="1316"/>
                  </wp:wrapPolygon>
                </wp:wrapTight>
                <wp:docPr id="1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885" cy="937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C9A35" w14:textId="4D44FDB0" w:rsidR="00DF46D3" w:rsidRPr="003E76A6" w:rsidRDefault="001A1D8E" w:rsidP="004228F2">
                            <w:pPr>
                              <w:pStyle w:val="Titolo"/>
                              <w:jc w:val="center"/>
                              <w:rPr>
                                <w:lang w:val="it-IT"/>
                              </w:rPr>
                            </w:pPr>
                            <w:r>
                              <w:rPr>
                                <w:lang w:val="it-IT"/>
                              </w:rPr>
                              <w:t xml:space="preserve">ISFOL su … </w:t>
                            </w:r>
                            <w:r w:rsidR="00CF02E3">
                              <w:rPr>
                                <w:lang w:val="it-IT"/>
                              </w:rPr>
                              <w:t>Politiche so</w:t>
                            </w:r>
                            <w:r w:rsidR="00DB652B">
                              <w:rPr>
                                <w:lang w:val="it-IT"/>
                              </w:rPr>
                              <w:t>cial</w:t>
                            </w:r>
                            <w:r w:rsidR="00CF02E3">
                              <w:rPr>
                                <w:lang w:val="it-IT"/>
                              </w:rPr>
                              <w:t>i</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36.2pt;margin-top:427.5pt;width:497.55pt;height:73.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" filled="f" stroked="f">
                <v:textbox inset=",7.2pt,,7.2pt">
                  <w:txbxContent>
                    <w:p w14:paraId="549C9A35" w14:textId="4D44FDB0" w:rsidR="00DF46D3" w:rsidRPr="003E76A6" w:rsidRDefault="001A1D8E" w:rsidP="004228F2">
                      <w:pPr>
                        <w:pStyle w:val="Titolo"/>
                        <w:jc w:val="center"/>
                        <w:rPr>
                          <w:lang w:val="it-IT"/>
                        </w:rPr>
                      </w:pPr>
                      <w:r>
                        <w:rPr>
                          <w:lang w:val="it-IT"/>
                        </w:rPr>
                        <w:t xml:space="preserve">ISFOL su … </w:t>
                      </w:r>
                      <w:r w:rsidR="00CF02E3">
                        <w:rPr>
                          <w:lang w:val="it-IT"/>
                        </w:rPr>
                        <w:t>Politiche so</w:t>
                      </w:r>
                      <w:r w:rsidR="00DB652B">
                        <w:rPr>
                          <w:lang w:val="it-IT"/>
                        </w:rPr>
                        <w:t>cial</w:t>
                      </w:r>
                      <w:r w:rsidR="00CF02E3">
                        <w:rPr>
                          <w:lang w:val="it-IT"/>
                        </w:rPr>
                        <w:t>i</w:t>
                      </w:r>
                    </w:p>
                  </w:txbxContent>
                </v:textbox>
                <w10:wrap type="tight" anchory="page"/>
              </v:shape>
            </w:pict>
          </mc:Fallback>
        </mc:AlternateContent>
      </w:r>
    </w:p>
    <w:p w14:paraId="080882C6" w14:textId="582171AB" w:rsidR="00FC385B" w:rsidRPr="000E3B8D" w:rsidRDefault="00FC385B" w:rsidP="00C8615D">
      <w:pPr>
        <w:rPr>
          <w:lang w:val="it-IT"/>
        </w:rPr>
      </w:pPr>
    </w:p>
    <w:p w14:paraId="498DA924" w14:textId="47ED80C0" w:rsidR="00FC385B" w:rsidRPr="000E3B8D" w:rsidRDefault="00FC385B" w:rsidP="00C8615D">
      <w:pPr>
        <w:rPr>
          <w:lang w:val="it-IT"/>
        </w:rPr>
      </w:pPr>
    </w:p>
    <w:p w14:paraId="5A9EB849" w14:textId="3F3CD422" w:rsidR="00FC385B" w:rsidRPr="000E3B8D" w:rsidRDefault="00FC385B" w:rsidP="00C8615D">
      <w:pPr>
        <w:rPr>
          <w:lang w:val="it-IT"/>
        </w:rPr>
      </w:pPr>
    </w:p>
    <w:p w14:paraId="1610C0DB" w14:textId="70A7E8AD" w:rsidR="00FC385B" w:rsidRPr="000E3B8D" w:rsidRDefault="00FC385B" w:rsidP="00C8615D">
      <w:pPr>
        <w:rPr>
          <w:lang w:val="it-IT"/>
        </w:rPr>
      </w:pPr>
    </w:p>
    <w:p w14:paraId="1BC36076" w14:textId="234A0DC3" w:rsidR="00FC385B" w:rsidRPr="000E3B8D" w:rsidRDefault="00FC385B" w:rsidP="00C8615D">
      <w:pPr>
        <w:rPr>
          <w:lang w:val="it-IT"/>
        </w:rPr>
      </w:pPr>
    </w:p>
    <w:p w14:paraId="31584C9C" w14:textId="0B240D0D" w:rsidR="00FC385B" w:rsidRPr="000E3B8D" w:rsidRDefault="00FC385B" w:rsidP="00C8615D">
      <w:pPr>
        <w:rPr>
          <w:lang w:val="it-IT"/>
        </w:rPr>
      </w:pPr>
    </w:p>
    <w:p w14:paraId="237FC9ED" w14:textId="76D86D95" w:rsidR="00FC385B" w:rsidRPr="000E3B8D" w:rsidRDefault="00FC385B" w:rsidP="00C8615D">
      <w:pPr>
        <w:rPr>
          <w:lang w:val="it-IT"/>
        </w:rPr>
      </w:pPr>
    </w:p>
    <w:p w14:paraId="787246FC" w14:textId="50D5599C" w:rsidR="00FC385B" w:rsidRPr="000E3B8D" w:rsidRDefault="00FC385B" w:rsidP="00C8615D">
      <w:pPr>
        <w:rPr>
          <w:lang w:val="it-IT"/>
        </w:rPr>
      </w:pPr>
    </w:p>
    <w:p w14:paraId="531A3319" w14:textId="16BDC5A2" w:rsidR="00FC385B" w:rsidRPr="000E3B8D" w:rsidRDefault="00DF1971" w:rsidP="00C8615D">
      <w:pPr>
        <w:rPr>
          <w:lang w:val="it-IT"/>
        </w:rPr>
      </w:pPr>
      <w:r>
        <w:rPr>
          <w:noProof/>
          <w:lang w:val="it-IT" w:eastAsia="it-IT"/>
        </w:rPr>
        <mc:AlternateContent>
          <mc:Choice Requires="wps">
            <w:drawing>
              <wp:anchor distT="0" distB="0" distL="114300" distR="114300" simplePos="0" relativeHeight="251683840" behindDoc="0" locked="0" layoutInCell="1" allowOverlap="1" wp14:anchorId="758848BD" wp14:editId="1707E62C">
                <wp:simplePos x="0" y="0"/>
                <wp:positionH relativeFrom="column">
                  <wp:posOffset>678180</wp:posOffset>
                </wp:positionH>
                <wp:positionV relativeFrom="paragraph">
                  <wp:posOffset>106680</wp:posOffset>
                </wp:positionV>
                <wp:extent cx="4088130" cy="686435"/>
                <wp:effectExtent l="0" t="0" r="0" b="0"/>
                <wp:wrapSquare wrapText="bothSides"/>
                <wp:docPr id="1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8130" cy="686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E0E6E" w14:textId="26D5E176" w:rsidR="003E76A6" w:rsidRPr="003E76A6" w:rsidRDefault="001A1D8E" w:rsidP="004228F2">
                            <w:pPr>
                              <w:pStyle w:val="ISFOLdata"/>
                              <w:jc w:val="center"/>
                            </w:pPr>
                            <w:r>
                              <w:t>Bibliogr</w:t>
                            </w:r>
                            <w:r w:rsidR="00DF1971">
                              <w:t>a</w:t>
                            </w:r>
                            <w:r>
                              <w:t>fia</w:t>
                            </w:r>
                            <w:r w:rsidR="002B5FE4">
                              <w:t xml:space="preserve"> di </w:t>
                            </w:r>
                            <w:r>
                              <w:t>pubblicazioni</w:t>
                            </w:r>
                            <w:r w:rsidR="0031193D">
                              <w:t xml:space="preserve"> e documenti </w:t>
                            </w:r>
                            <w:r w:rsidR="007268A5">
                              <w:t>realizzata in occasione della Conferenza nazionale di Statistica, Roma, 22-24 giugno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27" type="#_x0000_t202" style="position:absolute;left:0;text-align:left;margin-left:53.4pt;margin-top:8.4pt;width:321.9pt;height:54.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eMWuAIAAMI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" filled="f" stroked="f">
                <v:textbox>
                  <w:txbxContent>
                    <w:p w14:paraId="1A6E0E6E" w14:textId="26D5E176" w:rsidR="003E76A6" w:rsidRPr="003E76A6" w:rsidRDefault="001A1D8E" w:rsidP="004228F2">
                      <w:pPr>
                        <w:pStyle w:val="ISFOLdata"/>
                        <w:jc w:val="center"/>
                      </w:pPr>
                      <w:r>
                        <w:t>Bibliogr</w:t>
                      </w:r>
                      <w:r w:rsidR="00DF1971">
                        <w:t>a</w:t>
                      </w:r>
                      <w:r>
                        <w:t>fia</w:t>
                      </w:r>
                      <w:r w:rsidR="002B5FE4">
                        <w:t xml:space="preserve"> di </w:t>
                      </w:r>
                      <w:bookmarkStart w:id="6" w:name="_GoBack"/>
                      <w:bookmarkEnd w:id="6"/>
                      <w:r>
                        <w:t>pubblicazioni</w:t>
                      </w:r>
                      <w:r w:rsidR="0031193D">
                        <w:t xml:space="preserve"> e documenti </w:t>
                      </w:r>
                      <w:r w:rsidR="007268A5">
                        <w:t>realizzata in occasione della Conferenza nazionale di Statistica, Roma, 22-24 giugno 2016</w:t>
                      </w:r>
                    </w:p>
                  </w:txbxContent>
                </v:textbox>
                <w10:wrap type="square"/>
              </v:shape>
            </w:pict>
          </mc:Fallback>
        </mc:AlternateContent>
      </w:r>
    </w:p>
    <w:p w14:paraId="0B56AE88" w14:textId="27DAFA37" w:rsidR="00FC385B" w:rsidRPr="000E3B8D" w:rsidRDefault="00FC385B" w:rsidP="00C8615D">
      <w:pPr>
        <w:rPr>
          <w:lang w:val="it-IT"/>
        </w:rPr>
      </w:pPr>
    </w:p>
    <w:p w14:paraId="177241E5" w14:textId="77777777" w:rsidR="00FC385B" w:rsidRPr="000E3B8D" w:rsidRDefault="00FC385B" w:rsidP="00C8615D">
      <w:pPr>
        <w:rPr>
          <w:lang w:val="it-IT"/>
        </w:rPr>
      </w:pPr>
    </w:p>
    <w:p w14:paraId="1556A14C" w14:textId="18B841C9" w:rsidR="00FC385B" w:rsidRPr="000E3B8D" w:rsidRDefault="00FC385B" w:rsidP="00C8615D">
      <w:pPr>
        <w:rPr>
          <w:lang w:val="it-IT"/>
        </w:rPr>
      </w:pPr>
    </w:p>
    <w:p w14:paraId="37768F71" w14:textId="738FCBC2" w:rsidR="00FC385B" w:rsidRPr="000E3B8D" w:rsidRDefault="00FC385B" w:rsidP="00C8615D">
      <w:pPr>
        <w:rPr>
          <w:lang w:val="it-IT"/>
        </w:rPr>
      </w:pPr>
    </w:p>
    <w:p w14:paraId="5A69A9AE" w14:textId="6520E4AD" w:rsidR="00FC385B" w:rsidRPr="000E3B8D" w:rsidRDefault="00FC385B" w:rsidP="00C8615D">
      <w:pPr>
        <w:rPr>
          <w:lang w:val="it-IT"/>
        </w:rPr>
      </w:pPr>
    </w:p>
    <w:p w14:paraId="229F6AEE" w14:textId="77777777" w:rsidR="00FC385B" w:rsidRPr="000E3B8D" w:rsidRDefault="00FC385B" w:rsidP="00E55120">
      <w:pPr>
        <w:ind w:left="-1701" w:right="-1699"/>
        <w:rPr>
          <w:lang w:val="it-IT"/>
        </w:rPr>
      </w:pPr>
    </w:p>
    <w:p w14:paraId="58D5E375" w14:textId="77777777" w:rsidR="00FC385B" w:rsidRPr="000E3B8D" w:rsidRDefault="00FC385B" w:rsidP="00C8615D">
      <w:pPr>
        <w:rPr>
          <w:lang w:val="it-IT"/>
        </w:rPr>
      </w:pPr>
    </w:p>
    <w:p w14:paraId="2083E5C9" w14:textId="77777777" w:rsidR="00FC385B" w:rsidRPr="000E3B8D" w:rsidRDefault="00FC385B" w:rsidP="00C8615D">
      <w:pPr>
        <w:rPr>
          <w:lang w:val="it-IT"/>
        </w:rPr>
      </w:pPr>
    </w:p>
    <w:p w14:paraId="7F13012B" w14:textId="77777777" w:rsidR="00FC385B" w:rsidRPr="000E3B8D" w:rsidRDefault="00FC385B" w:rsidP="00C8615D">
      <w:pPr>
        <w:rPr>
          <w:lang w:val="it-IT"/>
        </w:rPr>
      </w:pPr>
    </w:p>
    <w:p w14:paraId="1720D4D2" w14:textId="1A0AE791" w:rsidR="00FC385B" w:rsidRPr="000E3B8D" w:rsidRDefault="00F51FF4" w:rsidP="00C8615D">
      <w:pPr>
        <w:rPr>
          <w:lang w:val="it-IT"/>
        </w:rPr>
      </w:pPr>
      <w:r>
        <w:rPr>
          <w:noProof/>
          <w:lang w:val="it-IT" w:eastAsia="it-IT"/>
        </w:rPr>
        <w:drawing>
          <wp:anchor distT="0" distB="0" distL="114300" distR="114300" simplePos="0" relativeHeight="251672576" behindDoc="1" locked="0" layoutInCell="1" allowOverlap="1" wp14:anchorId="2369DCE0" wp14:editId="2F626BBC">
            <wp:simplePos x="0" y="0"/>
            <wp:positionH relativeFrom="column">
              <wp:posOffset>-635</wp:posOffset>
            </wp:positionH>
            <wp:positionV relativeFrom="bottomMargin">
              <wp:posOffset>-848360</wp:posOffset>
            </wp:positionV>
            <wp:extent cx="723900" cy="652780"/>
            <wp:effectExtent l="0" t="0" r="0" b="0"/>
            <wp:wrapNone/>
            <wp:docPr id="2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3900" cy="652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913C0D" w14:textId="77777777" w:rsidR="00FC385B" w:rsidRPr="000E3B8D" w:rsidRDefault="00FC385B" w:rsidP="00C8615D">
      <w:pPr>
        <w:rPr>
          <w:lang w:val="it-IT"/>
        </w:rPr>
      </w:pPr>
    </w:p>
    <w:p w14:paraId="5E241389" w14:textId="77777777" w:rsidR="00D5128A" w:rsidRDefault="00D5128A" w:rsidP="00F51FF4">
      <w:pPr>
        <w:jc w:val="right"/>
        <w:rPr>
          <w:lang w:val="it-IT"/>
        </w:rPr>
      </w:pPr>
    </w:p>
    <w:p w14:paraId="290E507A" w14:textId="77777777" w:rsidR="00D5128A" w:rsidRDefault="00D5128A" w:rsidP="00F51FF4">
      <w:pPr>
        <w:jc w:val="right"/>
        <w:rPr>
          <w:lang w:val="it-IT"/>
        </w:rPr>
      </w:pPr>
    </w:p>
    <w:p w14:paraId="1BB9AEAB" w14:textId="011555E9" w:rsidR="00FC385B" w:rsidRPr="000E3B8D" w:rsidRDefault="00F51FF4" w:rsidP="00F51FF4">
      <w:pPr>
        <w:jc w:val="right"/>
        <w:rPr>
          <w:lang w:val="it-IT"/>
        </w:rPr>
      </w:pPr>
      <w:r>
        <w:rPr>
          <w:noProof/>
          <w:lang w:val="it-IT" w:eastAsia="it-IT"/>
        </w:rPr>
        <w:drawing>
          <wp:inline distT="0" distB="0" distL="0" distR="0" wp14:anchorId="2A8D893D" wp14:editId="12D6A87B">
            <wp:extent cx="1036320" cy="646430"/>
            <wp:effectExtent l="0" t="0" r="0" b="127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6320" cy="646430"/>
                    </a:xfrm>
                    <a:prstGeom prst="rect">
                      <a:avLst/>
                    </a:prstGeom>
                    <a:noFill/>
                  </pic:spPr>
                </pic:pic>
              </a:graphicData>
            </a:graphic>
          </wp:inline>
        </w:drawing>
      </w:r>
    </w:p>
    <w:p w14:paraId="692C8639" w14:textId="5D028E6B" w:rsidR="00FC385B" w:rsidRPr="000E3B8D" w:rsidRDefault="00FC385B" w:rsidP="00FC385B">
      <w:pPr>
        <w:pStyle w:val="Titolo1"/>
        <w:rPr>
          <w:lang w:val="it-IT"/>
        </w:rPr>
      </w:pPr>
    </w:p>
    <w:p w14:paraId="742D7B05" w14:textId="4062E99F" w:rsidR="00FC385B" w:rsidRPr="000E3B8D" w:rsidRDefault="00053528" w:rsidP="00FC385B">
      <w:pPr>
        <w:rPr>
          <w:lang w:val="it-IT"/>
        </w:rPr>
      </w:pPr>
      <w:bookmarkStart w:id="5" w:name="_MacBuGuideStaticData_1680H"/>
      <w:bookmarkStart w:id="6" w:name="_MacBuGuideStaticData_5933V"/>
      <w:bookmarkStart w:id="7" w:name="_MacBuGuideStaticData_15653H"/>
      <w:bookmarkEnd w:id="0"/>
      <w:bookmarkEnd w:id="1"/>
      <w:bookmarkEnd w:id="2"/>
      <w:bookmarkEnd w:id="3"/>
      <w:bookmarkEnd w:id="4"/>
      <w:r>
        <w:rPr>
          <w:noProof/>
          <w:lang w:val="it-IT" w:eastAsia="it-IT"/>
        </w:rPr>
        <mc:AlternateContent>
          <mc:Choice Requires="wps">
            <w:drawing>
              <wp:anchor distT="0" distB="0" distL="114300" distR="114300" simplePos="0" relativeHeight="251691008" behindDoc="0" locked="0" layoutInCell="1" allowOverlap="1" wp14:anchorId="1AC6FD4B" wp14:editId="52E5F537">
                <wp:simplePos x="0" y="0"/>
                <wp:positionH relativeFrom="column">
                  <wp:posOffset>-1612</wp:posOffset>
                </wp:positionH>
                <wp:positionV relativeFrom="paragraph">
                  <wp:posOffset>0</wp:posOffset>
                </wp:positionV>
                <wp:extent cx="5403557" cy="8849653"/>
                <wp:effectExtent l="0" t="0" r="0" b="8890"/>
                <wp:wrapNone/>
                <wp:docPr id="1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557" cy="8849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E6651" w14:textId="5A464845" w:rsidR="008A35C4" w:rsidRPr="00C85D9D" w:rsidRDefault="008A35C4" w:rsidP="008A35C4">
                            <w:pPr>
                              <w:pStyle w:val="Titolo2BrochureISFOL"/>
                              <w:jc w:val="both"/>
                              <w:rPr>
                                <w:caps w:val="0"/>
                                <w:color w:val="auto"/>
                                <w:sz w:val="24"/>
                              </w:rPr>
                            </w:pPr>
                            <w:bookmarkStart w:id="8" w:name="_GoBack"/>
                            <w:r w:rsidRPr="00C85D9D">
                              <w:rPr>
                                <w:color w:val="auto"/>
                                <w:sz w:val="24"/>
                              </w:rPr>
                              <w:t xml:space="preserve">ISFOL su  … </w:t>
                            </w:r>
                            <w:r w:rsidRPr="00C85D9D">
                              <w:rPr>
                                <w:caps w:val="0"/>
                                <w:color w:val="auto"/>
                                <w:sz w:val="24"/>
                              </w:rPr>
                              <w:t>è la serie di Dossier bibliografici che il</w:t>
                            </w:r>
                            <w:r w:rsidR="0046261F">
                              <w:rPr>
                                <w:caps w:val="0"/>
                                <w:color w:val="auto"/>
                                <w:sz w:val="24"/>
                              </w:rPr>
                              <w:t xml:space="preserve"> Servizio di comunicazione e divulgazione scientifica/</w:t>
                            </w:r>
                            <w:r w:rsidRPr="00C85D9D">
                              <w:rPr>
                                <w:caps w:val="0"/>
                                <w:color w:val="auto"/>
                                <w:sz w:val="24"/>
                              </w:rPr>
                              <w:t>Centro di documentazione ISFOL dedica a tematiche inerenti i temi di vocazione istituzionale.</w:t>
                            </w:r>
                          </w:p>
                          <w:bookmarkEnd w:id="8"/>
                          <w:p w14:paraId="4D68086B" w14:textId="77777777" w:rsidR="008A35C4" w:rsidRPr="00C85D9D" w:rsidRDefault="008A35C4" w:rsidP="008A35C4">
                            <w:pPr>
                              <w:rPr>
                                <w:sz w:val="24"/>
                                <w:szCs w:val="24"/>
                                <w:lang w:val="it-IT" w:eastAsia="it-IT"/>
                              </w:rPr>
                            </w:pPr>
                          </w:p>
                          <w:p w14:paraId="2B17C64A" w14:textId="77777777" w:rsidR="008A35C4" w:rsidRPr="00C85D9D" w:rsidRDefault="008A35C4" w:rsidP="008A35C4">
                            <w:pPr>
                              <w:rPr>
                                <w:sz w:val="24"/>
                                <w:szCs w:val="24"/>
                                <w:lang w:val="it-IT"/>
                              </w:rPr>
                            </w:pPr>
                            <w:r w:rsidRPr="00C85D9D">
                              <w:rPr>
                                <w:sz w:val="24"/>
                                <w:szCs w:val="24"/>
                                <w:lang w:val="it-IT" w:eastAsia="it-IT"/>
                              </w:rPr>
                              <w:t xml:space="preserve">I Dossier sono </w:t>
                            </w:r>
                            <w:r w:rsidRPr="00C85D9D">
                              <w:rPr>
                                <w:sz w:val="24"/>
                                <w:szCs w:val="24"/>
                                <w:lang w:val="it-IT"/>
                              </w:rPr>
                              <w:t xml:space="preserve">a cura di Chiara Carlucci, Monia De Angelis, Giuseppina Di Iorio, Paola Furfaro, Marzia Giovannetti. </w:t>
                            </w:r>
                          </w:p>
                          <w:p w14:paraId="4A1EE16B" w14:textId="77777777" w:rsidR="008A35C4" w:rsidRPr="00C85D9D" w:rsidRDefault="008A35C4" w:rsidP="008A35C4">
                            <w:pPr>
                              <w:pStyle w:val="Default"/>
                              <w:jc w:val="center"/>
                            </w:pPr>
                          </w:p>
                          <w:p w14:paraId="1D1638F4" w14:textId="77777777" w:rsidR="00C54BE2" w:rsidRPr="000268D7" w:rsidRDefault="00C54BE2" w:rsidP="00C54BE2">
                            <w:pPr>
                              <w:rPr>
                                <w:sz w:val="24"/>
                                <w:szCs w:val="24"/>
                                <w:lang w:val="it-IT"/>
                              </w:rPr>
                            </w:pPr>
                            <w:r w:rsidRPr="000268D7">
                              <w:rPr>
                                <w:rStyle w:val="lbdttlbdttvallbdttvaltitolo"/>
                                <w:rFonts w:cstheme="minorHAnsi"/>
                                <w:sz w:val="24"/>
                                <w:szCs w:val="24"/>
                                <w:lang w:val="it-IT"/>
                              </w:rPr>
                              <w:t>Questo numero è stato realizzato da Monia De Angelis e Paola Furfaro</w:t>
                            </w:r>
                            <w:r>
                              <w:rPr>
                                <w:rStyle w:val="lbdttlbdttvallbdttvaltitolo"/>
                                <w:rFonts w:cstheme="minorHAnsi"/>
                                <w:sz w:val="24"/>
                                <w:szCs w:val="24"/>
                                <w:lang w:val="it-IT"/>
                              </w:rPr>
                              <w:t xml:space="preserve">. </w:t>
                            </w:r>
                            <w:r w:rsidRPr="000268D7">
                              <w:rPr>
                                <w:sz w:val="24"/>
                                <w:szCs w:val="24"/>
                                <w:lang w:val="it-IT"/>
                              </w:rPr>
                              <w:t xml:space="preserve">La ricerca è stata svolta su OPAC ISFOL &lt;bw5.cilea.it/isfol/ &gt; e comprende le pubblicazioni edite da isfol o da autori </w:t>
                            </w:r>
                            <w:r>
                              <w:rPr>
                                <w:sz w:val="24"/>
                                <w:szCs w:val="24"/>
                                <w:lang w:val="it-IT"/>
                              </w:rPr>
                              <w:t>I</w:t>
                            </w:r>
                            <w:r w:rsidRPr="000268D7">
                              <w:rPr>
                                <w:sz w:val="24"/>
                                <w:szCs w:val="24"/>
                                <w:lang w:val="it-IT"/>
                              </w:rPr>
                              <w:t>sfol ordinate alfabeticamente per titolo</w:t>
                            </w:r>
                            <w:r>
                              <w:rPr>
                                <w:sz w:val="24"/>
                                <w:szCs w:val="24"/>
                                <w:lang w:val="it-IT"/>
                              </w:rPr>
                              <w:t xml:space="preserve"> </w:t>
                            </w:r>
                            <w:r w:rsidRPr="000268D7">
                              <w:rPr>
                                <w:sz w:val="24"/>
                                <w:szCs w:val="24"/>
                                <w:lang w:val="it-IT"/>
                              </w:rPr>
                              <w:t>tra il 2013 ed il 2016.</w:t>
                            </w:r>
                          </w:p>
                          <w:p w14:paraId="1DBAAC3A" w14:textId="7893AB19" w:rsidR="008A35C4" w:rsidRPr="00C85D9D" w:rsidRDefault="008A35C4" w:rsidP="008A35C4">
                            <w:pPr>
                              <w:rPr>
                                <w:rStyle w:val="lbdttlbdttvallbdttvaltitolo"/>
                                <w:rFonts w:cstheme="minorHAnsi"/>
                                <w:sz w:val="24"/>
                                <w:szCs w:val="24"/>
                                <w:lang w:val="it-IT"/>
                              </w:rPr>
                            </w:pPr>
                          </w:p>
                          <w:p w14:paraId="1D6DE532" w14:textId="77777777" w:rsidR="008A35C4" w:rsidRPr="00C85D9D" w:rsidRDefault="008A35C4" w:rsidP="008A35C4">
                            <w:pPr>
                              <w:rPr>
                                <w:rStyle w:val="lbdttlbdttvallbdttvaltitolo"/>
                                <w:rFonts w:cstheme="minorHAnsi"/>
                                <w:sz w:val="24"/>
                                <w:szCs w:val="24"/>
                                <w:lang w:val="it-IT"/>
                              </w:rPr>
                            </w:pPr>
                          </w:p>
                          <w:p w14:paraId="1BFE6484" w14:textId="77777777" w:rsidR="008A35C4" w:rsidRPr="00C85D9D" w:rsidRDefault="008A35C4" w:rsidP="008A35C4">
                            <w:pPr>
                              <w:rPr>
                                <w:rStyle w:val="lbdttlbdttvallbdttvaltitolo"/>
                                <w:rFonts w:cstheme="minorHAnsi"/>
                                <w:sz w:val="24"/>
                                <w:szCs w:val="24"/>
                                <w:lang w:val="it-IT"/>
                              </w:rPr>
                            </w:pPr>
                            <w:r w:rsidRPr="00C85D9D">
                              <w:rPr>
                                <w:rStyle w:val="lbdttlbdttvallbdttvaltitolo"/>
                                <w:rFonts w:cstheme="minorHAnsi"/>
                                <w:sz w:val="24"/>
                                <w:szCs w:val="24"/>
                                <w:lang w:val="it-IT"/>
                              </w:rPr>
                              <w:t>Tutta la documentazione è reperibile sul sito Isfol. Per ulteriori documenti e pubblicazioni contattare</w:t>
                            </w:r>
                            <w:r w:rsidRPr="00C85D9D">
                              <w:rPr>
                                <w:rStyle w:val="lbdttlbdttvallbdttvaltitolo"/>
                                <w:rFonts w:cstheme="minorHAnsi"/>
                                <w:b/>
                                <w:sz w:val="24"/>
                                <w:szCs w:val="24"/>
                                <w:lang w:val="it-IT"/>
                              </w:rPr>
                              <w:t xml:space="preserve"> </w:t>
                            </w:r>
                            <w:r w:rsidRPr="00C85D9D">
                              <w:rPr>
                                <w:rStyle w:val="lbdttlbdttvallbdttvaltitolo"/>
                                <w:rFonts w:cstheme="minorHAnsi"/>
                                <w:sz w:val="24"/>
                                <w:szCs w:val="24"/>
                                <w:lang w:val="it-IT"/>
                              </w:rPr>
                              <w:t xml:space="preserve">direttamente </w:t>
                            </w:r>
                            <w:hyperlink r:id="rId13" w:history="1">
                              <w:r w:rsidRPr="00C85D9D">
                                <w:rPr>
                                  <w:rStyle w:val="Collegamentoipertestuale"/>
                                  <w:rFonts w:cstheme="minorHAnsi"/>
                                  <w:sz w:val="24"/>
                                  <w:szCs w:val="24"/>
                                  <w:lang w:val="it-IT"/>
                                </w:rPr>
                                <w:t>biblioteca@isfol.it</w:t>
                              </w:r>
                            </w:hyperlink>
                          </w:p>
                          <w:p w14:paraId="0962DC05" w14:textId="77777777" w:rsidR="008A35C4" w:rsidRPr="00C85D9D" w:rsidRDefault="008A35C4" w:rsidP="008A35C4">
                            <w:pPr>
                              <w:rPr>
                                <w:rStyle w:val="lbdttlbdttvallbdttvaltitolo"/>
                                <w:rFonts w:cstheme="minorHAnsi"/>
                                <w:sz w:val="24"/>
                                <w:szCs w:val="24"/>
                                <w:lang w:val="it-IT"/>
                              </w:rPr>
                            </w:pPr>
                          </w:p>
                          <w:p w14:paraId="309F6AE8" w14:textId="77777777" w:rsidR="008A35C4" w:rsidRPr="00C85D9D" w:rsidRDefault="008A35C4" w:rsidP="008A35C4">
                            <w:pPr>
                              <w:pStyle w:val="Testopiccolo"/>
                              <w:rPr>
                                <w:b/>
                                <w:color w:val="auto"/>
                                <w:sz w:val="24"/>
                                <w:szCs w:val="24"/>
                              </w:rPr>
                            </w:pPr>
                          </w:p>
                          <w:p w14:paraId="6ED51DDF" w14:textId="77777777" w:rsidR="008A35C4" w:rsidRPr="00C85D9D" w:rsidRDefault="008A35C4" w:rsidP="008A35C4">
                            <w:pPr>
                              <w:pStyle w:val="Testopiccolo"/>
                              <w:jc w:val="both"/>
                              <w:rPr>
                                <w:color w:val="auto"/>
                                <w:sz w:val="24"/>
                                <w:szCs w:val="24"/>
                              </w:rPr>
                            </w:pPr>
                            <w:r w:rsidRPr="00C85D9D">
                              <w:rPr>
                                <w:color w:val="auto"/>
                                <w:sz w:val="24"/>
                                <w:szCs w:val="24"/>
                              </w:rPr>
                              <w:t xml:space="preserve">Gli open data Isfol </w:t>
                            </w:r>
                            <w:r w:rsidRPr="00C85D9D">
                              <w:rPr>
                                <w:rStyle w:val="apple-converted-space"/>
                                <w:rFonts w:cs="Lucida Grande"/>
                                <w:color w:val="auto"/>
                                <w:sz w:val="24"/>
                                <w:szCs w:val="24"/>
                              </w:rPr>
                              <w:t>sono consultabili dal sito Isfol &lt;</w:t>
                            </w:r>
                            <w:hyperlink r:id="rId14" w:history="1">
                              <w:r w:rsidRPr="00C85D9D">
                                <w:rPr>
                                  <w:rStyle w:val="Collegamentoipertestuale"/>
                                  <w:color w:val="auto"/>
                                  <w:sz w:val="24"/>
                                  <w:szCs w:val="24"/>
                                </w:rPr>
                                <w:t>www.isfol.it/open-data-delle-ricerche/dati-della-ricerca</w:t>
                              </w:r>
                            </w:hyperlink>
                            <w:r w:rsidRPr="00C85D9D">
                              <w:rPr>
                                <w:color w:val="auto"/>
                                <w:sz w:val="24"/>
                                <w:szCs w:val="24"/>
                              </w:rPr>
                              <w:t>&gt;</w:t>
                            </w:r>
                          </w:p>
                          <w:p w14:paraId="790309A6" w14:textId="77777777" w:rsidR="00AD7B76" w:rsidRDefault="00AD7B76" w:rsidP="00780F62">
                            <w:pPr>
                              <w:pStyle w:val="Testopiccolo"/>
                              <w:rPr>
                                <w:b/>
                                <w:color w:val="auto"/>
                              </w:rPr>
                            </w:pPr>
                          </w:p>
                          <w:p w14:paraId="049612C7" w14:textId="77777777" w:rsidR="00AD7B76" w:rsidRDefault="00AD7B76" w:rsidP="00780F62">
                            <w:pPr>
                              <w:pStyle w:val="Testopiccolo"/>
                              <w:rPr>
                                <w:b/>
                                <w:color w:val="auto"/>
                              </w:rPr>
                            </w:pPr>
                          </w:p>
                          <w:p w14:paraId="0C5B1E4F" w14:textId="77777777" w:rsidR="00AD7B76" w:rsidRDefault="00AD7B76" w:rsidP="00780F62">
                            <w:pPr>
                              <w:pStyle w:val="Testopiccolo"/>
                              <w:rPr>
                                <w:b/>
                                <w:color w:val="auto"/>
                              </w:rPr>
                            </w:pPr>
                          </w:p>
                          <w:p w14:paraId="1EA67127" w14:textId="77777777" w:rsidR="00AD7B76" w:rsidRDefault="00AD7B76" w:rsidP="00780F62">
                            <w:pPr>
                              <w:pStyle w:val="Testopiccolo"/>
                              <w:rPr>
                                <w:b/>
                                <w:color w:val="auto"/>
                              </w:rPr>
                            </w:pPr>
                          </w:p>
                          <w:p w14:paraId="0196C3D3" w14:textId="77777777" w:rsidR="00DC50E4" w:rsidRDefault="00DC50E4" w:rsidP="00780F62">
                            <w:pPr>
                              <w:pStyle w:val="Testopiccolo"/>
                              <w:rPr>
                                <w:b/>
                                <w:color w:val="auto"/>
                              </w:rPr>
                            </w:pPr>
                          </w:p>
                          <w:p w14:paraId="0FE32190" w14:textId="77777777" w:rsidR="00DC50E4" w:rsidRDefault="00DC50E4" w:rsidP="00780F62">
                            <w:pPr>
                              <w:pStyle w:val="Testopiccolo"/>
                              <w:rPr>
                                <w:b/>
                                <w:color w:val="auto"/>
                              </w:rPr>
                            </w:pPr>
                          </w:p>
                          <w:p w14:paraId="178B55BA" w14:textId="77777777" w:rsidR="00DC50E4" w:rsidRDefault="00DC50E4" w:rsidP="00780F62">
                            <w:pPr>
                              <w:pStyle w:val="Testopiccolo"/>
                              <w:rPr>
                                <w:b/>
                                <w:color w:val="auto"/>
                              </w:rPr>
                            </w:pPr>
                          </w:p>
                          <w:p w14:paraId="57647954" w14:textId="77777777" w:rsidR="00DC50E4" w:rsidRDefault="00DC50E4" w:rsidP="00780F62">
                            <w:pPr>
                              <w:pStyle w:val="Testopiccolo"/>
                              <w:rPr>
                                <w:b/>
                                <w:color w:val="auto"/>
                              </w:rPr>
                            </w:pPr>
                          </w:p>
                          <w:p w14:paraId="448F68EA" w14:textId="77777777" w:rsidR="00DC50E4" w:rsidRDefault="00DC50E4" w:rsidP="00780F62">
                            <w:pPr>
                              <w:pStyle w:val="Testopiccolo"/>
                              <w:rPr>
                                <w:b/>
                                <w:color w:val="auto"/>
                              </w:rPr>
                            </w:pPr>
                          </w:p>
                          <w:p w14:paraId="4CB8AFA0" w14:textId="77777777" w:rsidR="00DC50E4" w:rsidRDefault="00DC50E4" w:rsidP="00780F62">
                            <w:pPr>
                              <w:pStyle w:val="Testopiccolo"/>
                              <w:rPr>
                                <w:b/>
                                <w:color w:val="auto"/>
                              </w:rPr>
                            </w:pPr>
                          </w:p>
                          <w:p w14:paraId="615DD299" w14:textId="77777777" w:rsidR="00053528" w:rsidRDefault="00053528" w:rsidP="00780F62">
                            <w:pPr>
                              <w:pStyle w:val="Testopiccolo"/>
                              <w:rPr>
                                <w:b/>
                                <w:color w:val="auto"/>
                              </w:rPr>
                            </w:pPr>
                          </w:p>
                          <w:p w14:paraId="676511F2" w14:textId="77777777" w:rsidR="00053528" w:rsidRDefault="00053528" w:rsidP="00780F62">
                            <w:pPr>
                              <w:pStyle w:val="Testopiccolo"/>
                              <w:rPr>
                                <w:b/>
                                <w:color w:val="auto"/>
                              </w:rPr>
                            </w:pPr>
                          </w:p>
                          <w:p w14:paraId="2B6E4D01" w14:textId="7D161AE9" w:rsidR="00053528" w:rsidRDefault="00D8473E" w:rsidP="00D8473E">
                            <w:pPr>
                              <w:pStyle w:val="Testopiccolo"/>
                              <w:jc w:val="center"/>
                              <w:rPr>
                                <w:b/>
                                <w:color w:val="auto"/>
                              </w:rPr>
                            </w:pPr>
                            <w:r w:rsidRPr="00D8473E">
                              <w:rPr>
                                <w:noProof/>
                              </w:rPr>
                              <w:drawing>
                                <wp:inline distT="0" distB="0" distL="0" distR="0" wp14:anchorId="468A1191" wp14:editId="0FCB15F5">
                                  <wp:extent cx="937895" cy="937895"/>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7895" cy="937895"/>
                                          </a:xfrm>
                                          <a:prstGeom prst="rect">
                                            <a:avLst/>
                                          </a:prstGeom>
                                          <a:noFill/>
                                          <a:ln>
                                            <a:noFill/>
                                          </a:ln>
                                        </pic:spPr>
                                      </pic:pic>
                                    </a:graphicData>
                                  </a:graphic>
                                </wp:inline>
                              </w:drawing>
                            </w:r>
                          </w:p>
                          <w:p w14:paraId="418CDBE8" w14:textId="77777777" w:rsidR="00053528" w:rsidRDefault="00053528" w:rsidP="00780F62">
                            <w:pPr>
                              <w:pStyle w:val="Testopiccolo"/>
                              <w:rPr>
                                <w:b/>
                                <w:color w:val="auto"/>
                              </w:rPr>
                            </w:pPr>
                          </w:p>
                          <w:p w14:paraId="53DD2421" w14:textId="77777777" w:rsidR="00053528" w:rsidRDefault="00053528" w:rsidP="00780F62">
                            <w:pPr>
                              <w:pStyle w:val="Testopiccolo"/>
                              <w:rPr>
                                <w:b/>
                                <w:color w:val="auto"/>
                              </w:rPr>
                            </w:pPr>
                          </w:p>
                          <w:p w14:paraId="65BFDF73" w14:textId="77777777" w:rsidR="00053528" w:rsidRDefault="00053528" w:rsidP="00780F62">
                            <w:pPr>
                              <w:pStyle w:val="Testopiccolo"/>
                              <w:rPr>
                                <w:b/>
                                <w:color w:val="auto"/>
                              </w:rPr>
                            </w:pPr>
                          </w:p>
                          <w:p w14:paraId="0CEC3A56" w14:textId="77777777" w:rsidR="00053528" w:rsidRDefault="00053528" w:rsidP="00780F62">
                            <w:pPr>
                              <w:pStyle w:val="Testopiccolo"/>
                              <w:rPr>
                                <w:b/>
                                <w:color w:val="auto"/>
                              </w:rPr>
                            </w:pPr>
                          </w:p>
                          <w:p w14:paraId="5D86BCDF" w14:textId="77777777" w:rsidR="00053528" w:rsidRDefault="00053528" w:rsidP="00780F62">
                            <w:pPr>
                              <w:pStyle w:val="Testopiccolo"/>
                              <w:rPr>
                                <w:b/>
                                <w:color w:val="auto"/>
                              </w:rPr>
                            </w:pPr>
                          </w:p>
                          <w:p w14:paraId="1508A9BB" w14:textId="77777777" w:rsidR="00053528" w:rsidRDefault="00053528" w:rsidP="00780F62">
                            <w:pPr>
                              <w:pStyle w:val="Testopiccolo"/>
                              <w:rPr>
                                <w:b/>
                                <w:color w:val="auto"/>
                              </w:rPr>
                            </w:pPr>
                          </w:p>
                          <w:p w14:paraId="086421EF" w14:textId="77777777" w:rsidR="00053528" w:rsidRDefault="00053528" w:rsidP="00780F62">
                            <w:pPr>
                              <w:pStyle w:val="Testopiccolo"/>
                              <w:rPr>
                                <w:b/>
                                <w:color w:val="auto"/>
                              </w:rPr>
                            </w:pPr>
                          </w:p>
                          <w:p w14:paraId="04768DBE" w14:textId="77777777" w:rsidR="00053528" w:rsidRDefault="00053528" w:rsidP="00780F62">
                            <w:pPr>
                              <w:pStyle w:val="Testopiccolo"/>
                              <w:rPr>
                                <w:b/>
                                <w:color w:val="auto"/>
                              </w:rPr>
                            </w:pPr>
                          </w:p>
                          <w:p w14:paraId="5328632D" w14:textId="77777777" w:rsidR="00053528" w:rsidRDefault="00053528" w:rsidP="00780F62">
                            <w:pPr>
                              <w:pStyle w:val="Testopiccolo"/>
                              <w:rPr>
                                <w:b/>
                                <w:color w:val="auto"/>
                              </w:rPr>
                            </w:pPr>
                          </w:p>
                          <w:p w14:paraId="4F71952E" w14:textId="77777777" w:rsidR="00053528" w:rsidRDefault="00053528" w:rsidP="00780F62">
                            <w:pPr>
                              <w:pStyle w:val="Testopiccolo"/>
                              <w:rPr>
                                <w:b/>
                                <w:color w:val="auto"/>
                              </w:rPr>
                            </w:pPr>
                          </w:p>
                          <w:p w14:paraId="5374EBC3" w14:textId="77777777" w:rsidR="00053528" w:rsidRDefault="00053528" w:rsidP="00780F62">
                            <w:pPr>
                              <w:pStyle w:val="Testopiccolo"/>
                              <w:rPr>
                                <w:b/>
                                <w:color w:val="auto"/>
                              </w:rPr>
                            </w:pPr>
                          </w:p>
                          <w:p w14:paraId="478580D0" w14:textId="77777777" w:rsidR="00053528" w:rsidRDefault="00053528" w:rsidP="00780F62">
                            <w:pPr>
                              <w:pStyle w:val="Testopiccolo"/>
                              <w:rPr>
                                <w:b/>
                                <w:color w:val="auto"/>
                              </w:rPr>
                            </w:pPr>
                          </w:p>
                          <w:p w14:paraId="67AB97C2" w14:textId="77777777" w:rsidR="00053528" w:rsidRDefault="00053528" w:rsidP="00780F62">
                            <w:pPr>
                              <w:pStyle w:val="Testopiccolo"/>
                              <w:rPr>
                                <w:b/>
                                <w:color w:val="auto"/>
                              </w:rPr>
                            </w:pPr>
                          </w:p>
                          <w:p w14:paraId="64366610" w14:textId="77777777" w:rsidR="00DC50E4" w:rsidRDefault="00DC50E4" w:rsidP="00780F62">
                            <w:pPr>
                              <w:pStyle w:val="Testopiccolo"/>
                              <w:rPr>
                                <w:b/>
                                <w:color w:val="auto"/>
                              </w:rPr>
                            </w:pPr>
                          </w:p>
                          <w:p w14:paraId="15F664F5" w14:textId="77777777" w:rsidR="00DC50E4" w:rsidRDefault="00DC50E4" w:rsidP="00780F62">
                            <w:pPr>
                              <w:pStyle w:val="Testopiccolo"/>
                              <w:rPr>
                                <w:b/>
                                <w:color w:val="auto"/>
                              </w:rPr>
                            </w:pPr>
                          </w:p>
                          <w:p w14:paraId="36EDB88A" w14:textId="77777777" w:rsidR="00AD7B76" w:rsidRDefault="00AD7B76" w:rsidP="00780F62">
                            <w:pPr>
                              <w:pStyle w:val="Testopiccolo"/>
                              <w:rPr>
                                <w:b/>
                                <w:color w:val="auto"/>
                              </w:rPr>
                            </w:pPr>
                          </w:p>
                          <w:p w14:paraId="71EE55E9" w14:textId="77777777" w:rsidR="00F717B3" w:rsidRDefault="00F717B3" w:rsidP="00780F62">
                            <w:pPr>
                              <w:pStyle w:val="Testopiccolo"/>
                              <w:rPr>
                                <w:b/>
                                <w:color w:val="auto"/>
                              </w:rPr>
                            </w:pPr>
                          </w:p>
                          <w:p w14:paraId="4AB2F1AC" w14:textId="2FF15570" w:rsidR="00780F62" w:rsidRPr="00780F62" w:rsidRDefault="00780F62" w:rsidP="00780F62">
                            <w:pPr>
                              <w:pStyle w:val="Testopiccolo"/>
                              <w:rPr>
                                <w:b/>
                                <w:color w:val="auto"/>
                              </w:rPr>
                            </w:pPr>
                            <w:r>
                              <w:rPr>
                                <w:b/>
                                <w:color w:val="auto"/>
                              </w:rPr>
                              <w:t>ISFOL</w:t>
                            </w:r>
                            <w:r w:rsidR="00AD7B76">
                              <w:rPr>
                                <w:b/>
                                <w:color w:val="auto"/>
                              </w:rPr>
                              <w:t xml:space="preserve"> </w:t>
                            </w:r>
                            <w:r w:rsidRPr="00780F62">
                              <w:rPr>
                                <w:b/>
                                <w:color w:val="auto"/>
                              </w:rPr>
                              <w:t>SEDE CENTRALE</w:t>
                            </w:r>
                          </w:p>
                          <w:p w14:paraId="4DEE2F0C" w14:textId="77777777" w:rsidR="00780F62" w:rsidRPr="00780F62" w:rsidRDefault="00780F62" w:rsidP="00780F62">
                            <w:pPr>
                              <w:pStyle w:val="Testopiccolo"/>
                              <w:rPr>
                                <w:color w:val="auto"/>
                              </w:rPr>
                            </w:pPr>
                            <w:r w:rsidRPr="00780F62">
                              <w:rPr>
                                <w:color w:val="auto"/>
                              </w:rPr>
                              <w:t>Corso d’Italia, 33</w:t>
                            </w:r>
                          </w:p>
                          <w:p w14:paraId="458FB7DA" w14:textId="77777777" w:rsidR="00780F62" w:rsidRPr="00780F62" w:rsidRDefault="00780F62" w:rsidP="00780F62">
                            <w:pPr>
                              <w:pStyle w:val="Testopiccolo"/>
                              <w:rPr>
                                <w:color w:val="auto"/>
                              </w:rPr>
                            </w:pPr>
                            <w:r w:rsidRPr="00780F62">
                              <w:rPr>
                                <w:color w:val="auto"/>
                              </w:rPr>
                              <w:t>00198 Roma</w:t>
                            </w:r>
                          </w:p>
                          <w:p w14:paraId="358CED87" w14:textId="77777777" w:rsidR="00780F62" w:rsidRPr="00780F62" w:rsidRDefault="00780F62" w:rsidP="00780F62">
                            <w:pPr>
                              <w:pStyle w:val="Testopiccolo"/>
                              <w:rPr>
                                <w:color w:val="auto"/>
                              </w:rPr>
                            </w:pPr>
                            <w:r w:rsidRPr="00780F62">
                              <w:rPr>
                                <w:color w:val="auto"/>
                              </w:rPr>
                              <w:t>Tel (+39) 06 854471</w:t>
                            </w:r>
                          </w:p>
                          <w:p w14:paraId="7A812AE2" w14:textId="77777777" w:rsidR="00780F62" w:rsidRPr="00780F62" w:rsidRDefault="00780F62" w:rsidP="00780F62">
                            <w:pPr>
                              <w:pStyle w:val="Testopiccolo"/>
                              <w:rPr>
                                <w:color w:val="auto"/>
                              </w:rPr>
                            </w:pPr>
                            <w:r w:rsidRPr="00780F62">
                              <w:rPr>
                                <w:color w:val="auto"/>
                              </w:rPr>
                              <w:t>Fax (+39) 06 85447334</w:t>
                            </w:r>
                          </w:p>
                          <w:p w14:paraId="48570DF2" w14:textId="23712C57" w:rsidR="00780F62" w:rsidRPr="001A1D8E" w:rsidRDefault="004F5CEE" w:rsidP="00780F62">
                            <w:pPr>
                              <w:rPr>
                                <w:rStyle w:val="Collegamentoipertestuale"/>
                                <w:color w:val="auto"/>
                                <w:sz w:val="18"/>
                                <w:szCs w:val="18"/>
                                <w:lang w:val="it-IT"/>
                              </w:rPr>
                            </w:pPr>
                            <w:hyperlink r:id="rId16" w:history="1">
                              <w:r w:rsidR="00780F62" w:rsidRPr="001A1D8E">
                                <w:rPr>
                                  <w:rStyle w:val="Collegamentoipertestuale"/>
                                  <w:color w:val="auto"/>
                                  <w:sz w:val="18"/>
                                  <w:szCs w:val="18"/>
                                  <w:lang w:val="it-IT"/>
                                </w:rPr>
                                <w:t>www.isfol.it</w:t>
                              </w:r>
                            </w:hyperlink>
                          </w:p>
                          <w:p w14:paraId="4EBEE1B1" w14:textId="77777777" w:rsidR="00780F62" w:rsidRPr="001A1D8E" w:rsidRDefault="00780F62" w:rsidP="00780F62">
                            <w:pPr>
                              <w:rPr>
                                <w:sz w:val="18"/>
                                <w:szCs w:val="18"/>
                                <w:lang w:val="it-IT"/>
                              </w:rPr>
                            </w:pPr>
                          </w:p>
                          <w:p w14:paraId="4C4DF903" w14:textId="77777777" w:rsidR="00780F62" w:rsidRPr="001A1D8E" w:rsidRDefault="00780F62" w:rsidP="00780F62">
                            <w:pPr>
                              <w:rPr>
                                <w:lang w:val="it-IT"/>
                              </w:rPr>
                            </w:pPr>
                          </w:p>
                          <w:p w14:paraId="2C3F21F8" w14:textId="07FA10A3" w:rsidR="00096FB0" w:rsidRPr="00780F62" w:rsidRDefault="00096FB0" w:rsidP="00780F62">
                            <w:pPr>
                              <w:rPr>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8" type="#_x0000_t202" style="position:absolute;left:0;text-align:left;margin-left:-.15pt;margin-top:0;width:425.5pt;height:696.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" filled="f" stroked="f">
                <v:textbox>
                  <w:txbxContent>
                    <w:p w14:paraId="32BE6651" w14:textId="5A464845" w:rsidR="008A35C4" w:rsidRPr="00C85D9D" w:rsidRDefault="008A35C4" w:rsidP="008A35C4">
                      <w:pPr>
                        <w:pStyle w:val="Titolo2BrochureISFOL"/>
                        <w:jc w:val="both"/>
                        <w:rPr>
                          <w:caps w:val="0"/>
                          <w:color w:val="auto"/>
                          <w:sz w:val="24"/>
                        </w:rPr>
                      </w:pPr>
                      <w:bookmarkStart w:id="9" w:name="_GoBack"/>
                      <w:r w:rsidRPr="00C85D9D">
                        <w:rPr>
                          <w:color w:val="auto"/>
                          <w:sz w:val="24"/>
                        </w:rPr>
                        <w:t xml:space="preserve">ISFOL su  … </w:t>
                      </w:r>
                      <w:r w:rsidRPr="00C85D9D">
                        <w:rPr>
                          <w:caps w:val="0"/>
                          <w:color w:val="auto"/>
                          <w:sz w:val="24"/>
                        </w:rPr>
                        <w:t>è la serie di Dossier bibliografici che il</w:t>
                      </w:r>
                      <w:r w:rsidR="0046261F">
                        <w:rPr>
                          <w:caps w:val="0"/>
                          <w:color w:val="auto"/>
                          <w:sz w:val="24"/>
                        </w:rPr>
                        <w:t xml:space="preserve"> Servizio di comunicazione e divulgazione scientifica/</w:t>
                      </w:r>
                      <w:r w:rsidRPr="00C85D9D">
                        <w:rPr>
                          <w:caps w:val="0"/>
                          <w:color w:val="auto"/>
                          <w:sz w:val="24"/>
                        </w:rPr>
                        <w:t>Centro di documentazione ISFOL dedica a tematiche inerenti i temi di vocazione istituzionale.</w:t>
                      </w:r>
                    </w:p>
                    <w:bookmarkEnd w:id="9"/>
                    <w:p w14:paraId="4D68086B" w14:textId="77777777" w:rsidR="008A35C4" w:rsidRPr="00C85D9D" w:rsidRDefault="008A35C4" w:rsidP="008A35C4">
                      <w:pPr>
                        <w:rPr>
                          <w:sz w:val="24"/>
                          <w:szCs w:val="24"/>
                          <w:lang w:val="it-IT" w:eastAsia="it-IT"/>
                        </w:rPr>
                      </w:pPr>
                    </w:p>
                    <w:p w14:paraId="2B17C64A" w14:textId="77777777" w:rsidR="008A35C4" w:rsidRPr="00C85D9D" w:rsidRDefault="008A35C4" w:rsidP="008A35C4">
                      <w:pPr>
                        <w:rPr>
                          <w:sz w:val="24"/>
                          <w:szCs w:val="24"/>
                          <w:lang w:val="it-IT"/>
                        </w:rPr>
                      </w:pPr>
                      <w:r w:rsidRPr="00C85D9D">
                        <w:rPr>
                          <w:sz w:val="24"/>
                          <w:szCs w:val="24"/>
                          <w:lang w:val="it-IT" w:eastAsia="it-IT"/>
                        </w:rPr>
                        <w:t xml:space="preserve">I Dossier sono </w:t>
                      </w:r>
                      <w:r w:rsidRPr="00C85D9D">
                        <w:rPr>
                          <w:sz w:val="24"/>
                          <w:szCs w:val="24"/>
                          <w:lang w:val="it-IT"/>
                        </w:rPr>
                        <w:t xml:space="preserve">a cura di Chiara Carlucci, Monia De Angelis, Giuseppina Di Iorio, Paola Furfaro, Marzia Giovannetti. </w:t>
                      </w:r>
                    </w:p>
                    <w:p w14:paraId="4A1EE16B" w14:textId="77777777" w:rsidR="008A35C4" w:rsidRPr="00C85D9D" w:rsidRDefault="008A35C4" w:rsidP="008A35C4">
                      <w:pPr>
                        <w:pStyle w:val="Default"/>
                        <w:jc w:val="center"/>
                      </w:pPr>
                    </w:p>
                    <w:p w14:paraId="1D1638F4" w14:textId="77777777" w:rsidR="00C54BE2" w:rsidRPr="000268D7" w:rsidRDefault="00C54BE2" w:rsidP="00C54BE2">
                      <w:pPr>
                        <w:rPr>
                          <w:sz w:val="24"/>
                          <w:szCs w:val="24"/>
                          <w:lang w:val="it-IT"/>
                        </w:rPr>
                      </w:pPr>
                      <w:r w:rsidRPr="000268D7">
                        <w:rPr>
                          <w:rStyle w:val="lbdttlbdttvallbdttvaltitolo"/>
                          <w:rFonts w:cstheme="minorHAnsi"/>
                          <w:sz w:val="24"/>
                          <w:szCs w:val="24"/>
                          <w:lang w:val="it-IT"/>
                        </w:rPr>
                        <w:t>Questo numero è stato realizzato da Monia De Angelis e Paola Furfaro</w:t>
                      </w:r>
                      <w:r>
                        <w:rPr>
                          <w:rStyle w:val="lbdttlbdttvallbdttvaltitolo"/>
                          <w:rFonts w:cstheme="minorHAnsi"/>
                          <w:sz w:val="24"/>
                          <w:szCs w:val="24"/>
                          <w:lang w:val="it-IT"/>
                        </w:rPr>
                        <w:t xml:space="preserve">. </w:t>
                      </w:r>
                      <w:r w:rsidRPr="000268D7">
                        <w:rPr>
                          <w:sz w:val="24"/>
                          <w:szCs w:val="24"/>
                          <w:lang w:val="it-IT"/>
                        </w:rPr>
                        <w:t xml:space="preserve">La ricerca è stata svolta su OPAC ISFOL &lt;bw5.cilea.it/isfol/ &gt; e comprende le pubblicazioni edite da isfol o da autori </w:t>
                      </w:r>
                      <w:r>
                        <w:rPr>
                          <w:sz w:val="24"/>
                          <w:szCs w:val="24"/>
                          <w:lang w:val="it-IT"/>
                        </w:rPr>
                        <w:t>I</w:t>
                      </w:r>
                      <w:r w:rsidRPr="000268D7">
                        <w:rPr>
                          <w:sz w:val="24"/>
                          <w:szCs w:val="24"/>
                          <w:lang w:val="it-IT"/>
                        </w:rPr>
                        <w:t>sfol ordinate alfabeticamente per titolo</w:t>
                      </w:r>
                      <w:r>
                        <w:rPr>
                          <w:sz w:val="24"/>
                          <w:szCs w:val="24"/>
                          <w:lang w:val="it-IT"/>
                        </w:rPr>
                        <w:t xml:space="preserve"> </w:t>
                      </w:r>
                      <w:r w:rsidRPr="000268D7">
                        <w:rPr>
                          <w:sz w:val="24"/>
                          <w:szCs w:val="24"/>
                          <w:lang w:val="it-IT"/>
                        </w:rPr>
                        <w:t>tra il 2013 ed il 2016.</w:t>
                      </w:r>
                    </w:p>
                    <w:p w14:paraId="1DBAAC3A" w14:textId="7893AB19" w:rsidR="008A35C4" w:rsidRPr="00C85D9D" w:rsidRDefault="008A35C4" w:rsidP="008A35C4">
                      <w:pPr>
                        <w:rPr>
                          <w:rStyle w:val="lbdttlbdttvallbdttvaltitolo"/>
                          <w:rFonts w:cstheme="minorHAnsi"/>
                          <w:sz w:val="24"/>
                          <w:szCs w:val="24"/>
                          <w:lang w:val="it-IT"/>
                        </w:rPr>
                      </w:pPr>
                    </w:p>
                    <w:p w14:paraId="1D6DE532" w14:textId="77777777" w:rsidR="008A35C4" w:rsidRPr="00C85D9D" w:rsidRDefault="008A35C4" w:rsidP="008A35C4">
                      <w:pPr>
                        <w:rPr>
                          <w:rStyle w:val="lbdttlbdttvallbdttvaltitolo"/>
                          <w:rFonts w:cstheme="minorHAnsi"/>
                          <w:sz w:val="24"/>
                          <w:szCs w:val="24"/>
                          <w:lang w:val="it-IT"/>
                        </w:rPr>
                      </w:pPr>
                    </w:p>
                    <w:p w14:paraId="1BFE6484" w14:textId="77777777" w:rsidR="008A35C4" w:rsidRPr="00C85D9D" w:rsidRDefault="008A35C4" w:rsidP="008A35C4">
                      <w:pPr>
                        <w:rPr>
                          <w:rStyle w:val="lbdttlbdttvallbdttvaltitolo"/>
                          <w:rFonts w:cstheme="minorHAnsi"/>
                          <w:sz w:val="24"/>
                          <w:szCs w:val="24"/>
                          <w:lang w:val="it-IT"/>
                        </w:rPr>
                      </w:pPr>
                      <w:r w:rsidRPr="00C85D9D">
                        <w:rPr>
                          <w:rStyle w:val="lbdttlbdttvallbdttvaltitolo"/>
                          <w:rFonts w:cstheme="minorHAnsi"/>
                          <w:sz w:val="24"/>
                          <w:szCs w:val="24"/>
                          <w:lang w:val="it-IT"/>
                        </w:rPr>
                        <w:t>Tutta la documentazione è reperibile sul sito Isfol. Per ulteriori documenti e pubblicazioni contattare</w:t>
                      </w:r>
                      <w:r w:rsidRPr="00C85D9D">
                        <w:rPr>
                          <w:rStyle w:val="lbdttlbdttvallbdttvaltitolo"/>
                          <w:rFonts w:cstheme="minorHAnsi"/>
                          <w:b/>
                          <w:sz w:val="24"/>
                          <w:szCs w:val="24"/>
                          <w:lang w:val="it-IT"/>
                        </w:rPr>
                        <w:t xml:space="preserve"> </w:t>
                      </w:r>
                      <w:r w:rsidRPr="00C85D9D">
                        <w:rPr>
                          <w:rStyle w:val="lbdttlbdttvallbdttvaltitolo"/>
                          <w:rFonts w:cstheme="minorHAnsi"/>
                          <w:sz w:val="24"/>
                          <w:szCs w:val="24"/>
                          <w:lang w:val="it-IT"/>
                        </w:rPr>
                        <w:t xml:space="preserve">direttamente </w:t>
                      </w:r>
                      <w:hyperlink r:id="rId17" w:history="1">
                        <w:r w:rsidRPr="00C85D9D">
                          <w:rPr>
                            <w:rStyle w:val="Collegamentoipertestuale"/>
                            <w:rFonts w:cstheme="minorHAnsi"/>
                            <w:sz w:val="24"/>
                            <w:szCs w:val="24"/>
                            <w:lang w:val="it-IT"/>
                          </w:rPr>
                          <w:t>biblioteca@isfol.it</w:t>
                        </w:r>
                      </w:hyperlink>
                    </w:p>
                    <w:p w14:paraId="0962DC05" w14:textId="77777777" w:rsidR="008A35C4" w:rsidRPr="00C85D9D" w:rsidRDefault="008A35C4" w:rsidP="008A35C4">
                      <w:pPr>
                        <w:rPr>
                          <w:rStyle w:val="lbdttlbdttvallbdttvaltitolo"/>
                          <w:rFonts w:cstheme="minorHAnsi"/>
                          <w:sz w:val="24"/>
                          <w:szCs w:val="24"/>
                          <w:lang w:val="it-IT"/>
                        </w:rPr>
                      </w:pPr>
                    </w:p>
                    <w:p w14:paraId="309F6AE8" w14:textId="77777777" w:rsidR="008A35C4" w:rsidRPr="00C85D9D" w:rsidRDefault="008A35C4" w:rsidP="008A35C4">
                      <w:pPr>
                        <w:pStyle w:val="Testopiccolo"/>
                        <w:rPr>
                          <w:b/>
                          <w:color w:val="auto"/>
                          <w:sz w:val="24"/>
                          <w:szCs w:val="24"/>
                        </w:rPr>
                      </w:pPr>
                    </w:p>
                    <w:p w14:paraId="6ED51DDF" w14:textId="77777777" w:rsidR="008A35C4" w:rsidRPr="00C85D9D" w:rsidRDefault="008A35C4" w:rsidP="008A35C4">
                      <w:pPr>
                        <w:pStyle w:val="Testopiccolo"/>
                        <w:jc w:val="both"/>
                        <w:rPr>
                          <w:color w:val="auto"/>
                          <w:sz w:val="24"/>
                          <w:szCs w:val="24"/>
                        </w:rPr>
                      </w:pPr>
                      <w:r w:rsidRPr="00C85D9D">
                        <w:rPr>
                          <w:color w:val="auto"/>
                          <w:sz w:val="24"/>
                          <w:szCs w:val="24"/>
                        </w:rPr>
                        <w:t xml:space="preserve">Gli open data Isfol </w:t>
                      </w:r>
                      <w:r w:rsidRPr="00C85D9D">
                        <w:rPr>
                          <w:rStyle w:val="apple-converted-space"/>
                          <w:rFonts w:cs="Lucida Grande"/>
                          <w:color w:val="auto"/>
                          <w:sz w:val="24"/>
                          <w:szCs w:val="24"/>
                        </w:rPr>
                        <w:t>sono consultabili dal sito Isfol &lt;</w:t>
                      </w:r>
                      <w:hyperlink r:id="rId18" w:history="1">
                        <w:r w:rsidRPr="00C85D9D">
                          <w:rPr>
                            <w:rStyle w:val="Collegamentoipertestuale"/>
                            <w:color w:val="auto"/>
                            <w:sz w:val="24"/>
                            <w:szCs w:val="24"/>
                          </w:rPr>
                          <w:t>www.isfol.it/open-data-delle-ricerche/dati-della-ricerca</w:t>
                        </w:r>
                      </w:hyperlink>
                      <w:r w:rsidRPr="00C85D9D">
                        <w:rPr>
                          <w:color w:val="auto"/>
                          <w:sz w:val="24"/>
                          <w:szCs w:val="24"/>
                        </w:rPr>
                        <w:t>&gt;</w:t>
                      </w:r>
                    </w:p>
                    <w:p w14:paraId="790309A6" w14:textId="77777777" w:rsidR="00AD7B76" w:rsidRDefault="00AD7B76" w:rsidP="00780F62">
                      <w:pPr>
                        <w:pStyle w:val="Testopiccolo"/>
                        <w:rPr>
                          <w:b/>
                          <w:color w:val="auto"/>
                        </w:rPr>
                      </w:pPr>
                    </w:p>
                    <w:p w14:paraId="049612C7" w14:textId="77777777" w:rsidR="00AD7B76" w:rsidRDefault="00AD7B76" w:rsidP="00780F62">
                      <w:pPr>
                        <w:pStyle w:val="Testopiccolo"/>
                        <w:rPr>
                          <w:b/>
                          <w:color w:val="auto"/>
                        </w:rPr>
                      </w:pPr>
                    </w:p>
                    <w:p w14:paraId="0C5B1E4F" w14:textId="77777777" w:rsidR="00AD7B76" w:rsidRDefault="00AD7B76" w:rsidP="00780F62">
                      <w:pPr>
                        <w:pStyle w:val="Testopiccolo"/>
                        <w:rPr>
                          <w:b/>
                          <w:color w:val="auto"/>
                        </w:rPr>
                      </w:pPr>
                    </w:p>
                    <w:p w14:paraId="1EA67127" w14:textId="77777777" w:rsidR="00AD7B76" w:rsidRDefault="00AD7B76" w:rsidP="00780F62">
                      <w:pPr>
                        <w:pStyle w:val="Testopiccolo"/>
                        <w:rPr>
                          <w:b/>
                          <w:color w:val="auto"/>
                        </w:rPr>
                      </w:pPr>
                    </w:p>
                    <w:p w14:paraId="0196C3D3" w14:textId="77777777" w:rsidR="00DC50E4" w:rsidRDefault="00DC50E4" w:rsidP="00780F62">
                      <w:pPr>
                        <w:pStyle w:val="Testopiccolo"/>
                        <w:rPr>
                          <w:b/>
                          <w:color w:val="auto"/>
                        </w:rPr>
                      </w:pPr>
                    </w:p>
                    <w:p w14:paraId="0FE32190" w14:textId="77777777" w:rsidR="00DC50E4" w:rsidRDefault="00DC50E4" w:rsidP="00780F62">
                      <w:pPr>
                        <w:pStyle w:val="Testopiccolo"/>
                        <w:rPr>
                          <w:b/>
                          <w:color w:val="auto"/>
                        </w:rPr>
                      </w:pPr>
                    </w:p>
                    <w:p w14:paraId="178B55BA" w14:textId="77777777" w:rsidR="00DC50E4" w:rsidRDefault="00DC50E4" w:rsidP="00780F62">
                      <w:pPr>
                        <w:pStyle w:val="Testopiccolo"/>
                        <w:rPr>
                          <w:b/>
                          <w:color w:val="auto"/>
                        </w:rPr>
                      </w:pPr>
                    </w:p>
                    <w:p w14:paraId="57647954" w14:textId="77777777" w:rsidR="00DC50E4" w:rsidRDefault="00DC50E4" w:rsidP="00780F62">
                      <w:pPr>
                        <w:pStyle w:val="Testopiccolo"/>
                        <w:rPr>
                          <w:b/>
                          <w:color w:val="auto"/>
                        </w:rPr>
                      </w:pPr>
                    </w:p>
                    <w:p w14:paraId="448F68EA" w14:textId="77777777" w:rsidR="00DC50E4" w:rsidRDefault="00DC50E4" w:rsidP="00780F62">
                      <w:pPr>
                        <w:pStyle w:val="Testopiccolo"/>
                        <w:rPr>
                          <w:b/>
                          <w:color w:val="auto"/>
                        </w:rPr>
                      </w:pPr>
                    </w:p>
                    <w:p w14:paraId="4CB8AFA0" w14:textId="77777777" w:rsidR="00DC50E4" w:rsidRDefault="00DC50E4" w:rsidP="00780F62">
                      <w:pPr>
                        <w:pStyle w:val="Testopiccolo"/>
                        <w:rPr>
                          <w:b/>
                          <w:color w:val="auto"/>
                        </w:rPr>
                      </w:pPr>
                    </w:p>
                    <w:p w14:paraId="615DD299" w14:textId="77777777" w:rsidR="00053528" w:rsidRDefault="00053528" w:rsidP="00780F62">
                      <w:pPr>
                        <w:pStyle w:val="Testopiccolo"/>
                        <w:rPr>
                          <w:b/>
                          <w:color w:val="auto"/>
                        </w:rPr>
                      </w:pPr>
                    </w:p>
                    <w:p w14:paraId="676511F2" w14:textId="77777777" w:rsidR="00053528" w:rsidRDefault="00053528" w:rsidP="00780F62">
                      <w:pPr>
                        <w:pStyle w:val="Testopiccolo"/>
                        <w:rPr>
                          <w:b/>
                          <w:color w:val="auto"/>
                        </w:rPr>
                      </w:pPr>
                    </w:p>
                    <w:p w14:paraId="2B6E4D01" w14:textId="7D161AE9" w:rsidR="00053528" w:rsidRDefault="00D8473E" w:rsidP="00D8473E">
                      <w:pPr>
                        <w:pStyle w:val="Testopiccolo"/>
                        <w:jc w:val="center"/>
                        <w:rPr>
                          <w:b/>
                          <w:color w:val="auto"/>
                        </w:rPr>
                      </w:pPr>
                      <w:r w:rsidRPr="00D8473E">
                        <w:rPr>
                          <w:noProof/>
                        </w:rPr>
                        <w:drawing>
                          <wp:inline distT="0" distB="0" distL="0" distR="0" wp14:anchorId="468A1191" wp14:editId="0FCB15F5">
                            <wp:extent cx="937895" cy="937895"/>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7895" cy="937895"/>
                                    </a:xfrm>
                                    <a:prstGeom prst="rect">
                                      <a:avLst/>
                                    </a:prstGeom>
                                    <a:noFill/>
                                    <a:ln>
                                      <a:noFill/>
                                    </a:ln>
                                  </pic:spPr>
                                </pic:pic>
                              </a:graphicData>
                            </a:graphic>
                          </wp:inline>
                        </w:drawing>
                      </w:r>
                    </w:p>
                    <w:p w14:paraId="418CDBE8" w14:textId="77777777" w:rsidR="00053528" w:rsidRDefault="00053528" w:rsidP="00780F62">
                      <w:pPr>
                        <w:pStyle w:val="Testopiccolo"/>
                        <w:rPr>
                          <w:b/>
                          <w:color w:val="auto"/>
                        </w:rPr>
                      </w:pPr>
                    </w:p>
                    <w:p w14:paraId="53DD2421" w14:textId="77777777" w:rsidR="00053528" w:rsidRDefault="00053528" w:rsidP="00780F62">
                      <w:pPr>
                        <w:pStyle w:val="Testopiccolo"/>
                        <w:rPr>
                          <w:b/>
                          <w:color w:val="auto"/>
                        </w:rPr>
                      </w:pPr>
                    </w:p>
                    <w:p w14:paraId="65BFDF73" w14:textId="77777777" w:rsidR="00053528" w:rsidRDefault="00053528" w:rsidP="00780F62">
                      <w:pPr>
                        <w:pStyle w:val="Testopiccolo"/>
                        <w:rPr>
                          <w:b/>
                          <w:color w:val="auto"/>
                        </w:rPr>
                      </w:pPr>
                    </w:p>
                    <w:p w14:paraId="0CEC3A56" w14:textId="77777777" w:rsidR="00053528" w:rsidRDefault="00053528" w:rsidP="00780F62">
                      <w:pPr>
                        <w:pStyle w:val="Testopiccolo"/>
                        <w:rPr>
                          <w:b/>
                          <w:color w:val="auto"/>
                        </w:rPr>
                      </w:pPr>
                    </w:p>
                    <w:p w14:paraId="5D86BCDF" w14:textId="77777777" w:rsidR="00053528" w:rsidRDefault="00053528" w:rsidP="00780F62">
                      <w:pPr>
                        <w:pStyle w:val="Testopiccolo"/>
                        <w:rPr>
                          <w:b/>
                          <w:color w:val="auto"/>
                        </w:rPr>
                      </w:pPr>
                    </w:p>
                    <w:p w14:paraId="1508A9BB" w14:textId="77777777" w:rsidR="00053528" w:rsidRDefault="00053528" w:rsidP="00780F62">
                      <w:pPr>
                        <w:pStyle w:val="Testopiccolo"/>
                        <w:rPr>
                          <w:b/>
                          <w:color w:val="auto"/>
                        </w:rPr>
                      </w:pPr>
                    </w:p>
                    <w:p w14:paraId="086421EF" w14:textId="77777777" w:rsidR="00053528" w:rsidRDefault="00053528" w:rsidP="00780F62">
                      <w:pPr>
                        <w:pStyle w:val="Testopiccolo"/>
                        <w:rPr>
                          <w:b/>
                          <w:color w:val="auto"/>
                        </w:rPr>
                      </w:pPr>
                    </w:p>
                    <w:p w14:paraId="04768DBE" w14:textId="77777777" w:rsidR="00053528" w:rsidRDefault="00053528" w:rsidP="00780F62">
                      <w:pPr>
                        <w:pStyle w:val="Testopiccolo"/>
                        <w:rPr>
                          <w:b/>
                          <w:color w:val="auto"/>
                        </w:rPr>
                      </w:pPr>
                    </w:p>
                    <w:p w14:paraId="5328632D" w14:textId="77777777" w:rsidR="00053528" w:rsidRDefault="00053528" w:rsidP="00780F62">
                      <w:pPr>
                        <w:pStyle w:val="Testopiccolo"/>
                        <w:rPr>
                          <w:b/>
                          <w:color w:val="auto"/>
                        </w:rPr>
                      </w:pPr>
                    </w:p>
                    <w:p w14:paraId="4F71952E" w14:textId="77777777" w:rsidR="00053528" w:rsidRDefault="00053528" w:rsidP="00780F62">
                      <w:pPr>
                        <w:pStyle w:val="Testopiccolo"/>
                        <w:rPr>
                          <w:b/>
                          <w:color w:val="auto"/>
                        </w:rPr>
                      </w:pPr>
                    </w:p>
                    <w:p w14:paraId="5374EBC3" w14:textId="77777777" w:rsidR="00053528" w:rsidRDefault="00053528" w:rsidP="00780F62">
                      <w:pPr>
                        <w:pStyle w:val="Testopiccolo"/>
                        <w:rPr>
                          <w:b/>
                          <w:color w:val="auto"/>
                        </w:rPr>
                      </w:pPr>
                    </w:p>
                    <w:p w14:paraId="478580D0" w14:textId="77777777" w:rsidR="00053528" w:rsidRDefault="00053528" w:rsidP="00780F62">
                      <w:pPr>
                        <w:pStyle w:val="Testopiccolo"/>
                        <w:rPr>
                          <w:b/>
                          <w:color w:val="auto"/>
                        </w:rPr>
                      </w:pPr>
                    </w:p>
                    <w:p w14:paraId="67AB97C2" w14:textId="77777777" w:rsidR="00053528" w:rsidRDefault="00053528" w:rsidP="00780F62">
                      <w:pPr>
                        <w:pStyle w:val="Testopiccolo"/>
                        <w:rPr>
                          <w:b/>
                          <w:color w:val="auto"/>
                        </w:rPr>
                      </w:pPr>
                    </w:p>
                    <w:p w14:paraId="64366610" w14:textId="77777777" w:rsidR="00DC50E4" w:rsidRDefault="00DC50E4" w:rsidP="00780F62">
                      <w:pPr>
                        <w:pStyle w:val="Testopiccolo"/>
                        <w:rPr>
                          <w:b/>
                          <w:color w:val="auto"/>
                        </w:rPr>
                      </w:pPr>
                    </w:p>
                    <w:p w14:paraId="15F664F5" w14:textId="77777777" w:rsidR="00DC50E4" w:rsidRDefault="00DC50E4" w:rsidP="00780F62">
                      <w:pPr>
                        <w:pStyle w:val="Testopiccolo"/>
                        <w:rPr>
                          <w:b/>
                          <w:color w:val="auto"/>
                        </w:rPr>
                      </w:pPr>
                    </w:p>
                    <w:p w14:paraId="36EDB88A" w14:textId="77777777" w:rsidR="00AD7B76" w:rsidRDefault="00AD7B76" w:rsidP="00780F62">
                      <w:pPr>
                        <w:pStyle w:val="Testopiccolo"/>
                        <w:rPr>
                          <w:b/>
                          <w:color w:val="auto"/>
                        </w:rPr>
                      </w:pPr>
                    </w:p>
                    <w:p w14:paraId="71EE55E9" w14:textId="77777777" w:rsidR="00F717B3" w:rsidRDefault="00F717B3" w:rsidP="00780F62">
                      <w:pPr>
                        <w:pStyle w:val="Testopiccolo"/>
                        <w:rPr>
                          <w:b/>
                          <w:color w:val="auto"/>
                        </w:rPr>
                      </w:pPr>
                    </w:p>
                    <w:p w14:paraId="4AB2F1AC" w14:textId="2FF15570" w:rsidR="00780F62" w:rsidRPr="00780F62" w:rsidRDefault="00780F62" w:rsidP="00780F62">
                      <w:pPr>
                        <w:pStyle w:val="Testopiccolo"/>
                        <w:rPr>
                          <w:b/>
                          <w:color w:val="auto"/>
                        </w:rPr>
                      </w:pPr>
                      <w:r>
                        <w:rPr>
                          <w:b/>
                          <w:color w:val="auto"/>
                        </w:rPr>
                        <w:t>ISFOL</w:t>
                      </w:r>
                      <w:r w:rsidR="00AD7B76">
                        <w:rPr>
                          <w:b/>
                          <w:color w:val="auto"/>
                        </w:rPr>
                        <w:t xml:space="preserve"> </w:t>
                      </w:r>
                      <w:r w:rsidRPr="00780F62">
                        <w:rPr>
                          <w:b/>
                          <w:color w:val="auto"/>
                        </w:rPr>
                        <w:t>SEDE CENTRALE</w:t>
                      </w:r>
                    </w:p>
                    <w:p w14:paraId="4DEE2F0C" w14:textId="77777777" w:rsidR="00780F62" w:rsidRPr="00780F62" w:rsidRDefault="00780F62" w:rsidP="00780F62">
                      <w:pPr>
                        <w:pStyle w:val="Testopiccolo"/>
                        <w:rPr>
                          <w:color w:val="auto"/>
                        </w:rPr>
                      </w:pPr>
                      <w:r w:rsidRPr="00780F62">
                        <w:rPr>
                          <w:color w:val="auto"/>
                        </w:rPr>
                        <w:t>Corso d’Italia, 33</w:t>
                      </w:r>
                    </w:p>
                    <w:p w14:paraId="458FB7DA" w14:textId="77777777" w:rsidR="00780F62" w:rsidRPr="00780F62" w:rsidRDefault="00780F62" w:rsidP="00780F62">
                      <w:pPr>
                        <w:pStyle w:val="Testopiccolo"/>
                        <w:rPr>
                          <w:color w:val="auto"/>
                        </w:rPr>
                      </w:pPr>
                      <w:r w:rsidRPr="00780F62">
                        <w:rPr>
                          <w:color w:val="auto"/>
                        </w:rPr>
                        <w:t>00198 Roma</w:t>
                      </w:r>
                    </w:p>
                    <w:p w14:paraId="358CED87" w14:textId="77777777" w:rsidR="00780F62" w:rsidRPr="00780F62" w:rsidRDefault="00780F62" w:rsidP="00780F62">
                      <w:pPr>
                        <w:pStyle w:val="Testopiccolo"/>
                        <w:rPr>
                          <w:color w:val="auto"/>
                        </w:rPr>
                      </w:pPr>
                      <w:r w:rsidRPr="00780F62">
                        <w:rPr>
                          <w:color w:val="auto"/>
                        </w:rPr>
                        <w:t>Tel (+39) 06 854471</w:t>
                      </w:r>
                    </w:p>
                    <w:p w14:paraId="7A812AE2" w14:textId="77777777" w:rsidR="00780F62" w:rsidRPr="00780F62" w:rsidRDefault="00780F62" w:rsidP="00780F62">
                      <w:pPr>
                        <w:pStyle w:val="Testopiccolo"/>
                        <w:rPr>
                          <w:color w:val="auto"/>
                        </w:rPr>
                      </w:pPr>
                      <w:r w:rsidRPr="00780F62">
                        <w:rPr>
                          <w:color w:val="auto"/>
                        </w:rPr>
                        <w:t>Fax (+39) 06 85447334</w:t>
                      </w:r>
                    </w:p>
                    <w:p w14:paraId="48570DF2" w14:textId="23712C57" w:rsidR="00780F62" w:rsidRPr="001A1D8E" w:rsidRDefault="004F5CEE" w:rsidP="00780F62">
                      <w:pPr>
                        <w:rPr>
                          <w:rStyle w:val="Collegamentoipertestuale"/>
                          <w:color w:val="auto"/>
                          <w:sz w:val="18"/>
                          <w:szCs w:val="18"/>
                          <w:lang w:val="it-IT"/>
                        </w:rPr>
                      </w:pPr>
                      <w:hyperlink r:id="rId19" w:history="1">
                        <w:r w:rsidR="00780F62" w:rsidRPr="001A1D8E">
                          <w:rPr>
                            <w:rStyle w:val="Collegamentoipertestuale"/>
                            <w:color w:val="auto"/>
                            <w:sz w:val="18"/>
                            <w:szCs w:val="18"/>
                            <w:lang w:val="it-IT"/>
                          </w:rPr>
                          <w:t>www.isfol.it</w:t>
                        </w:r>
                      </w:hyperlink>
                    </w:p>
                    <w:p w14:paraId="4EBEE1B1" w14:textId="77777777" w:rsidR="00780F62" w:rsidRPr="001A1D8E" w:rsidRDefault="00780F62" w:rsidP="00780F62">
                      <w:pPr>
                        <w:rPr>
                          <w:sz w:val="18"/>
                          <w:szCs w:val="18"/>
                          <w:lang w:val="it-IT"/>
                        </w:rPr>
                      </w:pPr>
                    </w:p>
                    <w:p w14:paraId="4C4DF903" w14:textId="77777777" w:rsidR="00780F62" w:rsidRPr="001A1D8E" w:rsidRDefault="00780F62" w:rsidP="00780F62">
                      <w:pPr>
                        <w:rPr>
                          <w:lang w:val="it-IT"/>
                        </w:rPr>
                      </w:pPr>
                    </w:p>
                    <w:p w14:paraId="2C3F21F8" w14:textId="07FA10A3" w:rsidR="00096FB0" w:rsidRPr="00780F62" w:rsidRDefault="00096FB0" w:rsidP="00780F62">
                      <w:pPr>
                        <w:rPr>
                          <w:lang w:val="it-IT"/>
                        </w:rPr>
                      </w:pPr>
                    </w:p>
                  </w:txbxContent>
                </v:textbox>
              </v:shape>
            </w:pict>
          </mc:Fallback>
        </mc:AlternateContent>
      </w:r>
    </w:p>
    <w:p w14:paraId="0FD556E5" w14:textId="1D2CF892" w:rsidR="00FC385B" w:rsidRPr="000E3B8D" w:rsidRDefault="00FC385B" w:rsidP="00AE6597">
      <w:pPr>
        <w:jc w:val="center"/>
        <w:rPr>
          <w:lang w:val="it-IT"/>
        </w:rPr>
      </w:pPr>
    </w:p>
    <w:p w14:paraId="06734E36" w14:textId="39C0A6CA" w:rsidR="00FC385B" w:rsidRPr="000E3B8D" w:rsidRDefault="00FC385B" w:rsidP="00FC385B">
      <w:pPr>
        <w:rPr>
          <w:lang w:val="it-IT"/>
        </w:rPr>
      </w:pPr>
    </w:p>
    <w:p w14:paraId="108C17E1" w14:textId="0B8F295F" w:rsidR="00096FB0" w:rsidRPr="000E3B8D" w:rsidRDefault="00096FB0" w:rsidP="00FC385B">
      <w:pPr>
        <w:rPr>
          <w:lang w:val="it-IT"/>
        </w:rPr>
      </w:pPr>
    </w:p>
    <w:p w14:paraId="15DC5F33" w14:textId="6213F1C4" w:rsidR="00FC385B" w:rsidRPr="000E3B8D" w:rsidRDefault="00096FB0" w:rsidP="00FC385B">
      <w:pPr>
        <w:rPr>
          <w:lang w:val="it-IT"/>
        </w:rPr>
      </w:pPr>
      <w:r w:rsidRPr="000E3B8D">
        <w:rPr>
          <w:lang w:val="it-IT"/>
        </w:rPr>
        <w:br w:type="page"/>
      </w:r>
    </w:p>
    <w:p w14:paraId="0C45924D" w14:textId="4C5C3606" w:rsidR="007034B0" w:rsidRPr="000E3B8D" w:rsidRDefault="007034B0" w:rsidP="00FC385B">
      <w:pPr>
        <w:rPr>
          <w:lang w:val="it-IT"/>
        </w:rPr>
      </w:pPr>
    </w:p>
    <w:p w14:paraId="69BDB41A" w14:textId="37D7F97C" w:rsidR="00455C88" w:rsidRPr="00511922" w:rsidRDefault="00455C88" w:rsidP="00511922">
      <w:pPr>
        <w:spacing w:line="253" w:lineRule="auto"/>
        <w:ind w:right="700"/>
        <w:rPr>
          <w:rFonts w:asciiTheme="minorHAnsi" w:eastAsia="Arial Narrow" w:hAnsiTheme="minorHAnsi" w:cstheme="minorHAnsi"/>
          <w:sz w:val="24"/>
          <w:szCs w:val="24"/>
          <w:lang w:val="it-IT"/>
        </w:rPr>
      </w:pPr>
      <w:bookmarkStart w:id="10" w:name="page1"/>
      <w:bookmarkEnd w:id="5"/>
      <w:bookmarkEnd w:id="6"/>
      <w:bookmarkEnd w:id="7"/>
      <w:bookmarkEnd w:id="10"/>
      <w:r w:rsidRPr="00511922">
        <w:rPr>
          <w:rFonts w:asciiTheme="minorHAnsi" w:eastAsia="Arial Narrow" w:hAnsiTheme="minorHAnsi" w:cstheme="minorHAnsi"/>
          <w:b/>
          <w:sz w:val="24"/>
          <w:szCs w:val="24"/>
          <w:lang w:val="it-IT"/>
        </w:rPr>
        <w:t>Gli allievi di origine straniera nella IeFP : percorsi, inclusione e occupabilità</w:t>
      </w:r>
      <w:r w:rsidRPr="00511922">
        <w:rPr>
          <w:rFonts w:asciiTheme="minorHAnsi" w:eastAsia="Arial Narrow" w:hAnsiTheme="minorHAnsi" w:cstheme="minorHAnsi"/>
          <w:sz w:val="24"/>
          <w:szCs w:val="24"/>
          <w:lang w:val="it-IT"/>
        </w:rPr>
        <w:t>,</w:t>
      </w:r>
      <w:r w:rsidR="00511922">
        <w:rPr>
          <w:rFonts w:asciiTheme="minorHAnsi" w:eastAsia="Arial Narrow" w:hAnsiTheme="minorHAnsi" w:cstheme="minorHAnsi"/>
          <w:b/>
          <w:sz w:val="24"/>
          <w:szCs w:val="24"/>
          <w:lang w:val="it-IT"/>
        </w:rPr>
        <w:t xml:space="preserve"> </w:t>
      </w:r>
      <w:r w:rsidR="00511922" w:rsidRPr="00511922">
        <w:rPr>
          <w:rFonts w:asciiTheme="minorHAnsi" w:eastAsia="Arial Narrow" w:hAnsiTheme="minorHAnsi" w:cstheme="minorHAnsi"/>
          <w:sz w:val="24"/>
          <w:szCs w:val="24"/>
          <w:lang w:val="it-IT"/>
        </w:rPr>
        <w:t>I</w:t>
      </w:r>
      <w:r w:rsidRPr="00511922">
        <w:rPr>
          <w:rFonts w:asciiTheme="minorHAnsi" w:eastAsia="Arial Narrow" w:hAnsiTheme="minorHAnsi" w:cstheme="minorHAnsi"/>
          <w:sz w:val="24"/>
          <w:szCs w:val="24"/>
          <w:lang w:val="it-IT"/>
        </w:rPr>
        <w:t>SFOL ; Luisa Daniele, Roma : ISFOL, c2015 (Isfol</w:t>
      </w:r>
      <w:r w:rsidRPr="00511922">
        <w:rPr>
          <w:rFonts w:asciiTheme="minorHAnsi" w:eastAsia="Arial Narrow" w:hAnsiTheme="minorHAnsi" w:cstheme="minorHAnsi"/>
          <w:b/>
          <w:sz w:val="24"/>
          <w:szCs w:val="24"/>
          <w:lang w:val="it-IT"/>
        </w:rPr>
        <w:t xml:space="preserve"> </w:t>
      </w:r>
      <w:r w:rsidRPr="00511922">
        <w:rPr>
          <w:rFonts w:asciiTheme="minorHAnsi" w:eastAsia="Arial Narrow" w:hAnsiTheme="minorHAnsi" w:cstheme="minorHAnsi"/>
          <w:sz w:val="24"/>
          <w:szCs w:val="24"/>
          <w:lang w:val="it-IT"/>
        </w:rPr>
        <w:t>Research Paper ; 24)</w:t>
      </w:r>
    </w:p>
    <w:p w14:paraId="2DB34501" w14:textId="1F9E014E" w:rsidR="00455C88" w:rsidRPr="00511922" w:rsidRDefault="00455C88" w:rsidP="00511922">
      <w:pPr>
        <w:spacing w:line="1" w:lineRule="exact"/>
        <w:rPr>
          <w:rFonts w:asciiTheme="minorHAnsi" w:eastAsia="Times New Roman" w:hAnsiTheme="minorHAnsi" w:cstheme="minorHAnsi"/>
          <w:sz w:val="24"/>
          <w:szCs w:val="24"/>
          <w:lang w:val="it-IT"/>
        </w:rPr>
      </w:pPr>
    </w:p>
    <w:p w14:paraId="516AFEFE" w14:textId="77777777" w:rsidR="00455C88" w:rsidRPr="00511922" w:rsidRDefault="00455C88" w:rsidP="002F1735">
      <w:pPr>
        <w:spacing w:after="0"/>
        <w:ind w:right="40"/>
        <w:rPr>
          <w:rFonts w:asciiTheme="minorHAnsi" w:eastAsia="Arial Narrow" w:hAnsiTheme="minorHAnsi" w:cstheme="minorHAnsi"/>
          <w:sz w:val="24"/>
          <w:szCs w:val="24"/>
          <w:lang w:val="it-IT"/>
        </w:rPr>
      </w:pPr>
      <w:r w:rsidRPr="00511922">
        <w:rPr>
          <w:rFonts w:asciiTheme="minorHAnsi" w:eastAsia="Arial Narrow" w:hAnsiTheme="minorHAnsi" w:cstheme="minorHAnsi"/>
          <w:sz w:val="24"/>
          <w:szCs w:val="24"/>
          <w:lang w:val="it-IT"/>
        </w:rPr>
        <w:t xml:space="preserve">L’articolo presenta i risultati dell’analisi della presenza di giovani di cittadinanza non italiana (figli di immigrati nati in Italia o ivi giunti nell’età dell’adempimento dell’obbligo di istruzione e formazione, quindi entro i 16 anni), in particolare nel segmento della formazione professionale. Su questo target, infatti, sono ancora poco esplorate le attività di formazione professionale in termini di tipologia di offerta, caratteristiche della partecipazione, servizi di accompagnamento, domanda espressa dai giovani stessi, aspettative e prospettive future, promozione della transizione alla vita attiva e all’esercizio pieno della cittadinanza. In questo articolo si dà quindi conto dei risultati finali di una ricerca che si è sviluppata in due fasi, qualitativa (svolgimento di studi di caso sul territorio nazionale) e quantitativa. Il target della ricerca comprende i giovani allievi di origine straniera di età compresa indicativamente dai 14 ai 19 anni impegnati in percorsi di formazione iniziale in riferimento all’assolvimento del diritto/dovere di istruzione e formazione. </w:t>
      </w:r>
    </w:p>
    <w:p w14:paraId="10C548FE" w14:textId="243E62B2" w:rsidR="00455C88" w:rsidRPr="00511922" w:rsidRDefault="002F1735" w:rsidP="002F1735">
      <w:pPr>
        <w:spacing w:after="0"/>
        <w:rPr>
          <w:rFonts w:asciiTheme="minorHAnsi" w:eastAsia="Times New Roman" w:hAnsiTheme="minorHAnsi" w:cstheme="minorHAnsi"/>
          <w:sz w:val="24"/>
          <w:szCs w:val="24"/>
          <w:lang w:val="it-IT"/>
        </w:rPr>
      </w:pPr>
      <w:r>
        <w:rPr>
          <w:rFonts w:asciiTheme="minorHAnsi" w:eastAsia="Times New Roman" w:hAnsiTheme="minorHAnsi" w:cstheme="minorHAnsi"/>
          <w:noProof/>
          <w:sz w:val="24"/>
          <w:szCs w:val="24"/>
          <w:lang w:val="it-IT" w:eastAsia="it-IT"/>
        </w:rPr>
        <w:drawing>
          <wp:inline distT="0" distB="0" distL="0" distR="0" wp14:anchorId="082A6CFD" wp14:editId="70FC9072">
            <wp:extent cx="774065" cy="109855"/>
            <wp:effectExtent l="0" t="0" r="6985" b="4445"/>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7B8DEF44" w14:textId="1D9279C7" w:rsidR="00455C88" w:rsidRPr="00511922" w:rsidRDefault="00455C88" w:rsidP="002F1735">
      <w:pPr>
        <w:spacing w:after="0"/>
        <w:rPr>
          <w:rFonts w:asciiTheme="minorHAnsi" w:eastAsia="Arial Narrow" w:hAnsiTheme="minorHAnsi" w:cstheme="minorHAnsi"/>
          <w:sz w:val="24"/>
          <w:szCs w:val="24"/>
          <w:lang w:val="it-IT"/>
        </w:rPr>
      </w:pPr>
      <w:r w:rsidRPr="00511922">
        <w:rPr>
          <w:rFonts w:asciiTheme="minorHAnsi" w:eastAsia="Arial Narrow" w:hAnsiTheme="minorHAnsi" w:cstheme="minorHAnsi"/>
          <w:b/>
          <w:sz w:val="24"/>
          <w:szCs w:val="24"/>
          <w:lang w:val="it-IT"/>
        </w:rPr>
        <w:t>Gli allievi di origine straniera in percorsi di IeFP e l’accesso alla lingua</w:t>
      </w:r>
      <w:r w:rsidRPr="00511922">
        <w:rPr>
          <w:rFonts w:asciiTheme="minorHAnsi" w:eastAsia="Arial Narrow" w:hAnsiTheme="minorHAnsi" w:cstheme="minorHAnsi"/>
          <w:sz w:val="24"/>
          <w:szCs w:val="24"/>
          <w:lang w:val="it-IT"/>
        </w:rPr>
        <w:t>,</w:t>
      </w:r>
      <w:r w:rsidRPr="00511922">
        <w:rPr>
          <w:rFonts w:asciiTheme="minorHAnsi" w:eastAsia="Arial Narrow" w:hAnsiTheme="minorHAnsi" w:cstheme="minorHAnsi"/>
          <w:b/>
          <w:sz w:val="24"/>
          <w:szCs w:val="24"/>
          <w:lang w:val="it-IT"/>
        </w:rPr>
        <w:t xml:space="preserve"> </w:t>
      </w:r>
      <w:r w:rsidRPr="00511922">
        <w:rPr>
          <w:rFonts w:asciiTheme="minorHAnsi" w:eastAsia="Arial Narrow" w:hAnsiTheme="minorHAnsi" w:cstheme="minorHAnsi"/>
          <w:sz w:val="24"/>
          <w:szCs w:val="24"/>
          <w:lang w:val="it-IT"/>
        </w:rPr>
        <w:t>ISFOL ; Luisa Daniele, Roma : ISFOL, c2015 (Isfol Research Paper ; 28)</w:t>
      </w:r>
    </w:p>
    <w:p w14:paraId="5D2821C6" w14:textId="77777777" w:rsidR="002F1735" w:rsidRDefault="00455C88" w:rsidP="002F1735">
      <w:pPr>
        <w:spacing w:after="0"/>
        <w:rPr>
          <w:rFonts w:asciiTheme="minorHAnsi" w:eastAsia="Arial Narrow" w:hAnsiTheme="minorHAnsi" w:cstheme="minorHAnsi"/>
          <w:sz w:val="24"/>
          <w:szCs w:val="24"/>
          <w:lang w:val="it-IT"/>
        </w:rPr>
      </w:pPr>
      <w:r w:rsidRPr="00511922">
        <w:rPr>
          <w:rFonts w:asciiTheme="minorHAnsi" w:eastAsia="Arial Narrow" w:hAnsiTheme="minorHAnsi" w:cstheme="minorHAnsi"/>
          <w:sz w:val="24"/>
          <w:szCs w:val="24"/>
          <w:lang w:val="it-IT"/>
        </w:rPr>
        <w:t xml:space="preserve">L’articolo muove da una ricerca condotta mediante somministrazione di 3600 questionari presso un campione equamente distribuito tra allievi italiani e di origine straniera nella IeFP, in sei regioni italiane. Il testo esamina i dati emersi dall’indagine relativi a: la padronanza e all’uso della lingua italiana e del dialetto negli allievi di origine straniera. A partire dalle evidenze della ricerca vengono presentate alcune piste di lavoro per il potenziamento della lingua italiana per i giovani di origine straniera. Completa l’articolo una bibliografia di riferimento, per autore e in relazione ai temi della didattica interculturale, dell’Italiano seconda lingua, della cittadinanza attiva, del tema dell’integrazione e inclusione. </w:t>
      </w:r>
    </w:p>
    <w:p w14:paraId="027CD790" w14:textId="654E9351" w:rsidR="00455C88" w:rsidRPr="00511922" w:rsidRDefault="002F1735" w:rsidP="002F1735">
      <w:pPr>
        <w:spacing w:after="0"/>
        <w:rPr>
          <w:rFonts w:asciiTheme="minorHAnsi" w:eastAsia="Times New Roman" w:hAnsiTheme="minorHAnsi" w:cstheme="minorHAnsi"/>
          <w:sz w:val="24"/>
          <w:szCs w:val="24"/>
          <w:lang w:val="it-IT"/>
        </w:rPr>
      </w:pPr>
      <w:r>
        <w:rPr>
          <w:rFonts w:asciiTheme="minorHAnsi" w:eastAsia="Times New Roman" w:hAnsiTheme="minorHAnsi" w:cstheme="minorHAnsi"/>
          <w:noProof/>
          <w:sz w:val="24"/>
          <w:szCs w:val="24"/>
          <w:lang w:val="it-IT" w:eastAsia="it-IT"/>
        </w:rPr>
        <w:drawing>
          <wp:inline distT="0" distB="0" distL="0" distR="0" wp14:anchorId="75FFDA31" wp14:editId="7AA349AE">
            <wp:extent cx="774065" cy="109855"/>
            <wp:effectExtent l="0" t="0" r="6985" b="4445"/>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0A666FC1" w14:textId="77777777" w:rsidR="00455C88" w:rsidRPr="00511922" w:rsidRDefault="00455C88" w:rsidP="002F1735">
      <w:pPr>
        <w:spacing w:after="0"/>
        <w:rPr>
          <w:rFonts w:asciiTheme="minorHAnsi" w:eastAsia="Arial Narrow" w:hAnsiTheme="minorHAnsi" w:cstheme="minorHAnsi"/>
          <w:sz w:val="24"/>
          <w:szCs w:val="24"/>
          <w:lang w:val="it-IT"/>
        </w:rPr>
      </w:pPr>
      <w:r w:rsidRPr="00511922">
        <w:rPr>
          <w:rFonts w:asciiTheme="minorHAnsi" w:eastAsia="Arial Narrow" w:hAnsiTheme="minorHAnsi" w:cstheme="minorHAnsi"/>
          <w:b/>
          <w:sz w:val="24"/>
          <w:szCs w:val="24"/>
          <w:lang w:val="it-IT"/>
        </w:rPr>
        <w:t>Analisi tramite banca dati dei bandi e degli avvisi pubblici emanati dalle Amministrazioni titolari di P.O. nel periodo di programmazione 2007-2013 : report finale</w:t>
      </w:r>
      <w:r w:rsidRPr="00511922">
        <w:rPr>
          <w:rFonts w:asciiTheme="minorHAnsi" w:eastAsia="Arial Narrow" w:hAnsiTheme="minorHAnsi" w:cstheme="minorHAnsi"/>
          <w:sz w:val="24"/>
          <w:szCs w:val="24"/>
          <w:lang w:val="it-IT"/>
        </w:rPr>
        <w:t>, ISFOL ; a cura di</w:t>
      </w:r>
      <w:r w:rsidRPr="00511922">
        <w:rPr>
          <w:rFonts w:asciiTheme="minorHAnsi" w:eastAsia="Arial Narrow" w:hAnsiTheme="minorHAnsi" w:cstheme="minorHAnsi"/>
          <w:b/>
          <w:sz w:val="24"/>
          <w:szCs w:val="24"/>
          <w:lang w:val="it-IT"/>
        </w:rPr>
        <w:t xml:space="preserve"> </w:t>
      </w:r>
      <w:r w:rsidRPr="00511922">
        <w:rPr>
          <w:rFonts w:asciiTheme="minorHAnsi" w:eastAsia="Arial Narrow" w:hAnsiTheme="minorHAnsi" w:cstheme="minorHAnsi"/>
          <w:sz w:val="24"/>
          <w:szCs w:val="24"/>
          <w:lang w:val="it-IT"/>
        </w:rPr>
        <w:t>Rosanna Ricciardi, Roma, ISFOL, c2015 (I libri del Fondo sociale europeo ; 214)</w:t>
      </w:r>
    </w:p>
    <w:p w14:paraId="16D9FAB0" w14:textId="279622D8" w:rsidR="00455C88" w:rsidRPr="00511922" w:rsidRDefault="00455C88" w:rsidP="00511922">
      <w:pPr>
        <w:spacing w:line="1" w:lineRule="exact"/>
        <w:rPr>
          <w:rFonts w:asciiTheme="minorHAnsi" w:eastAsia="Times New Roman" w:hAnsiTheme="minorHAnsi" w:cstheme="minorHAnsi"/>
          <w:sz w:val="24"/>
          <w:szCs w:val="24"/>
          <w:lang w:val="it-IT"/>
        </w:rPr>
      </w:pPr>
    </w:p>
    <w:p w14:paraId="4372E58E" w14:textId="77777777" w:rsidR="00455C88" w:rsidRPr="00511922" w:rsidRDefault="00455C88" w:rsidP="00511922">
      <w:pPr>
        <w:spacing w:line="239" w:lineRule="auto"/>
        <w:ind w:right="-3"/>
        <w:rPr>
          <w:rFonts w:asciiTheme="minorHAnsi" w:eastAsia="Arial Narrow" w:hAnsiTheme="minorHAnsi" w:cstheme="minorHAnsi"/>
          <w:sz w:val="24"/>
          <w:szCs w:val="24"/>
          <w:lang w:val="it-IT"/>
        </w:rPr>
      </w:pPr>
      <w:r w:rsidRPr="00511922">
        <w:rPr>
          <w:rFonts w:asciiTheme="minorHAnsi" w:eastAsia="Arial Narrow" w:hAnsiTheme="minorHAnsi" w:cstheme="minorHAnsi"/>
          <w:sz w:val="24"/>
          <w:szCs w:val="24"/>
          <w:lang w:val="it-IT"/>
        </w:rPr>
        <w:t xml:space="preserve">Il conseguimento degli obiettivi strategici di crescita intelligente, sostenibile e inclusiva prevista dall’Unione nella Strategia Europa 2020, ha reso imprescindibile il rafforzamento del ruolo della valutazione ex ante nella nuova programmazione 2014-2020. Essa deve garantire che i Programmi operativi articolino con chiarezza la propria logica d’intervento, dimostrando il proprio contributo alla Strategia Europa 2020 e deve offrire supporto nella messa in pratica di sistemi di monitoraggio efficienti, che soddisfino i requisiti di valutazione. L’analisi del processo d’implementazione di un programma operativo diventa così cruciale ai fini valutativi poiché consente di ricostruire le dinamiche attraverso cui sono perseguiti gli obiettivi previsti in fase di programmazione. Inoltre, consente di evidenziare quali fattori hanno condizionato e in che modo, la realizzazione di un programma, fornendo così indicazioni ai policy maker rispetto agli esiti e agli elementi di forza e di debolezza che la programmazione ha presentato in fase d’implementazione. In linea con queste priorità, il progetto “Analisi tramite Banca dati dei bandi e degli avvisi pubblici emessi dalle Amministrazioni titolari </w:t>
      </w:r>
      <w:r w:rsidRPr="00511922">
        <w:rPr>
          <w:rFonts w:asciiTheme="minorHAnsi" w:eastAsia="Arial Narrow" w:hAnsiTheme="minorHAnsi" w:cstheme="minorHAnsi"/>
          <w:sz w:val="24"/>
          <w:szCs w:val="24"/>
          <w:lang w:val="it-IT"/>
        </w:rPr>
        <w:lastRenderedPageBreak/>
        <w:t>di P.O. FSE e di altri fondi della politica regionale nel periodo di programmazione 2007/2013” si è proposto l’obiettivo di costruire, sulla base di un impianto metodologico robusto e rigoroso, una Banca dati per il monitoraggio delle politiche attuative cofinanziate, a supporto della loro valutazione. Il presente Rapporto rappresenta l’output ultimo del progetto.</w:t>
      </w:r>
    </w:p>
    <w:p w14:paraId="29DD48F3" w14:textId="0BE3D045" w:rsidR="00455C88" w:rsidRPr="00511922" w:rsidRDefault="007F4C1C" w:rsidP="00511922">
      <w:pPr>
        <w:spacing w:line="200" w:lineRule="exact"/>
        <w:rPr>
          <w:rFonts w:asciiTheme="minorHAnsi" w:eastAsia="Times New Roman" w:hAnsiTheme="minorHAnsi" w:cstheme="minorHAnsi"/>
          <w:sz w:val="24"/>
          <w:szCs w:val="24"/>
          <w:lang w:val="it-IT"/>
        </w:rPr>
      </w:pPr>
      <w:bookmarkStart w:id="11" w:name="page2"/>
      <w:bookmarkEnd w:id="11"/>
      <w:r>
        <w:rPr>
          <w:rFonts w:asciiTheme="minorHAnsi" w:eastAsia="Times New Roman" w:hAnsiTheme="minorHAnsi" w:cstheme="minorHAnsi"/>
          <w:noProof/>
          <w:sz w:val="24"/>
          <w:szCs w:val="24"/>
          <w:lang w:val="it-IT" w:eastAsia="it-IT"/>
        </w:rPr>
        <w:drawing>
          <wp:inline distT="0" distB="0" distL="0" distR="0" wp14:anchorId="7CBE288B" wp14:editId="3C89C1FD">
            <wp:extent cx="774065" cy="109855"/>
            <wp:effectExtent l="0" t="0" r="6985" b="4445"/>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294451AB" w14:textId="77777777" w:rsidR="00455C88" w:rsidRPr="00511922" w:rsidRDefault="00455C88" w:rsidP="00511922">
      <w:pPr>
        <w:spacing w:line="256" w:lineRule="auto"/>
        <w:ind w:right="80"/>
        <w:rPr>
          <w:rFonts w:asciiTheme="minorHAnsi" w:eastAsia="Arial Narrow" w:hAnsiTheme="minorHAnsi" w:cstheme="minorHAnsi"/>
          <w:sz w:val="24"/>
          <w:szCs w:val="24"/>
          <w:lang w:val="it-IT"/>
        </w:rPr>
      </w:pPr>
      <w:r w:rsidRPr="00511922">
        <w:rPr>
          <w:rFonts w:asciiTheme="minorHAnsi" w:eastAsia="Arial Narrow" w:hAnsiTheme="minorHAnsi" w:cstheme="minorHAnsi"/>
          <w:b/>
          <w:sz w:val="24"/>
          <w:szCs w:val="24"/>
          <w:lang w:val="it-IT"/>
        </w:rPr>
        <w:t>Il bilancio di genere della Regione Puglia: la sperimentazione di una buona prassi</w:t>
      </w:r>
      <w:r w:rsidRPr="00511922">
        <w:rPr>
          <w:rFonts w:asciiTheme="minorHAnsi" w:eastAsia="Arial Narrow" w:hAnsiTheme="minorHAnsi" w:cstheme="minorHAnsi"/>
          <w:sz w:val="24"/>
          <w:szCs w:val="24"/>
          <w:lang w:val="it-IT"/>
        </w:rPr>
        <w:t>, ISFOL ; a</w:t>
      </w:r>
      <w:r w:rsidRPr="00511922">
        <w:rPr>
          <w:rFonts w:asciiTheme="minorHAnsi" w:eastAsia="Arial Narrow" w:hAnsiTheme="minorHAnsi" w:cstheme="minorHAnsi"/>
          <w:b/>
          <w:sz w:val="24"/>
          <w:szCs w:val="24"/>
          <w:lang w:val="it-IT"/>
        </w:rPr>
        <w:t xml:space="preserve"> </w:t>
      </w:r>
      <w:r w:rsidRPr="00511922">
        <w:rPr>
          <w:rFonts w:asciiTheme="minorHAnsi" w:eastAsia="Arial Narrow" w:hAnsiTheme="minorHAnsi" w:cstheme="minorHAnsi"/>
          <w:sz w:val="24"/>
          <w:szCs w:val="24"/>
          <w:lang w:val="it-IT"/>
        </w:rPr>
        <w:t>cura di Alessia Rosiello e Maria Antonietta Salvucci, Roma, ISFOL, c2014 (I libri del Fondo sociale europeo ; 195)</w:t>
      </w:r>
    </w:p>
    <w:p w14:paraId="3CFDDA39" w14:textId="47300398" w:rsidR="00455C88" w:rsidRPr="00511922" w:rsidRDefault="00455C88" w:rsidP="00511922">
      <w:pPr>
        <w:spacing w:line="1" w:lineRule="exact"/>
        <w:rPr>
          <w:rFonts w:asciiTheme="minorHAnsi" w:eastAsia="Times New Roman" w:hAnsiTheme="minorHAnsi" w:cstheme="minorHAnsi"/>
          <w:sz w:val="24"/>
          <w:szCs w:val="24"/>
          <w:lang w:val="it-IT"/>
        </w:rPr>
      </w:pPr>
    </w:p>
    <w:p w14:paraId="71A99306" w14:textId="77777777" w:rsidR="00455C88" w:rsidRPr="00511922" w:rsidRDefault="00455C88" w:rsidP="00511922">
      <w:pPr>
        <w:spacing w:line="239" w:lineRule="auto"/>
        <w:ind w:right="60"/>
        <w:rPr>
          <w:rFonts w:asciiTheme="minorHAnsi" w:eastAsia="Arial Narrow" w:hAnsiTheme="minorHAnsi" w:cstheme="minorHAnsi"/>
          <w:sz w:val="24"/>
          <w:szCs w:val="24"/>
          <w:lang w:val="it-IT"/>
        </w:rPr>
      </w:pPr>
      <w:r w:rsidRPr="00511922">
        <w:rPr>
          <w:rFonts w:asciiTheme="minorHAnsi" w:eastAsia="Arial Narrow" w:hAnsiTheme="minorHAnsi" w:cstheme="minorHAnsi"/>
          <w:sz w:val="24"/>
          <w:szCs w:val="24"/>
          <w:lang w:val="it-IT"/>
        </w:rPr>
        <w:t>Il volume presenta i risultati della prima sperimentazione del bilancio di genere della Regione Puglia, condotta sulle annualità di bilancio 2010 e 2011 nel quadro dell’attività di sostegno al bilancio di genere che l’ISFOL ha svolto nella programmazione 2007-2013. Il bilancio di genere è qui inteso come strumento di applicazione del gender mainstreaming nelle procedure di programmazione e attuazione della spesa pubblica, atto a garantire forme di distribuzione delle risorse più eque tra donne e uomini. La sperimentazione, dunque, la prima peraltro nelle regioni dell’Italia meridionale, rappresenta un segnale rilevante a sostegno delle pari opportunità, nonché un riferimento metodologico anche per le altre amministrazioni o aziende pubbliche che volessero avvicinarsi a tale strumento. Il volume, realizzato nell’ambito di due importanti blocchi di politiche, quelle per la formazione e il lavoro e quelle legate alla salute e al benessere, ripercorre le fasi standard del bilancio di genere, a cominciare dall’analisi di contesto e della programmazione economico-finanziaria, fino all’analisi della spesa, nel cui ambito sono state ulteriormente sviluppate le categorie di riclassificazione delle voci di spesa, individuando in modo ancora più dettagliato quali effetti gli interventi hanno avuto su uomini e donne, seguita dall’analisi più specifica degli interventi attuati. Il lavoro si conclude con l’indicazione di linee di indirizzo che orientano e sostengono l’amministrazione regionale verso l’applicazione del gender mainstreaming attraverso questo strumento.</w:t>
      </w:r>
    </w:p>
    <w:p w14:paraId="117A309D" w14:textId="4696EE3B" w:rsidR="00455C88" w:rsidRPr="00511922" w:rsidRDefault="007F4C1C" w:rsidP="00511922">
      <w:pPr>
        <w:spacing w:line="198" w:lineRule="exact"/>
        <w:rPr>
          <w:rFonts w:asciiTheme="minorHAnsi" w:eastAsia="Times New Roman" w:hAnsiTheme="minorHAnsi" w:cstheme="minorHAnsi"/>
          <w:sz w:val="24"/>
          <w:szCs w:val="24"/>
          <w:lang w:val="it-IT"/>
        </w:rPr>
      </w:pPr>
      <w:r>
        <w:rPr>
          <w:rFonts w:asciiTheme="minorHAnsi" w:eastAsia="Times New Roman" w:hAnsiTheme="minorHAnsi" w:cstheme="minorHAnsi"/>
          <w:noProof/>
          <w:sz w:val="24"/>
          <w:szCs w:val="24"/>
          <w:lang w:val="it-IT" w:eastAsia="it-IT"/>
        </w:rPr>
        <w:drawing>
          <wp:inline distT="0" distB="0" distL="0" distR="0" wp14:anchorId="59E30490" wp14:editId="0ACBC6D1">
            <wp:extent cx="774065" cy="109855"/>
            <wp:effectExtent l="0" t="0" r="6985" b="4445"/>
            <wp:docPr id="48"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167EB2AE" w14:textId="64AA29FF" w:rsidR="00455C88" w:rsidRPr="00511922" w:rsidRDefault="00455C88" w:rsidP="00511922">
      <w:pPr>
        <w:spacing w:line="0" w:lineRule="atLeast"/>
        <w:rPr>
          <w:rFonts w:asciiTheme="minorHAnsi" w:eastAsia="Arial Narrow" w:hAnsiTheme="minorHAnsi" w:cstheme="minorHAnsi"/>
          <w:sz w:val="24"/>
          <w:szCs w:val="24"/>
          <w:lang w:val="it-IT"/>
        </w:rPr>
      </w:pPr>
      <w:r w:rsidRPr="00511922">
        <w:rPr>
          <w:rFonts w:asciiTheme="minorHAnsi" w:eastAsia="Arial Narrow" w:hAnsiTheme="minorHAnsi" w:cstheme="minorHAnsi"/>
          <w:b/>
          <w:sz w:val="24"/>
          <w:szCs w:val="24"/>
          <w:lang w:val="it-IT"/>
        </w:rPr>
        <w:t>Compendio attività 2012-2015 : progetto Pro.P Programma per il sostegno e lo sviluppo dei</w:t>
      </w:r>
      <w:r w:rsidR="003419E4" w:rsidRPr="00511922">
        <w:rPr>
          <w:rFonts w:asciiTheme="minorHAnsi" w:eastAsia="Arial Narrow" w:hAnsiTheme="minorHAnsi" w:cstheme="minorHAnsi"/>
          <w:b/>
          <w:sz w:val="24"/>
          <w:szCs w:val="24"/>
          <w:lang w:val="it-IT"/>
        </w:rPr>
        <w:t xml:space="preserve"> </w:t>
      </w:r>
      <w:r w:rsidRPr="00511922">
        <w:rPr>
          <w:rFonts w:asciiTheme="minorHAnsi" w:eastAsia="Arial Narrow" w:hAnsiTheme="minorHAnsi" w:cstheme="minorHAnsi"/>
          <w:b/>
          <w:sz w:val="24"/>
          <w:szCs w:val="24"/>
          <w:lang w:val="it-IT"/>
        </w:rPr>
        <w:t>percorsi integrati di reinserimento socio-lavorativo dei soggetti con disturbo psichico</w:t>
      </w:r>
      <w:r w:rsidR="00511922" w:rsidRPr="00511922">
        <w:rPr>
          <w:rFonts w:asciiTheme="minorHAnsi" w:eastAsia="Arial Narrow" w:hAnsiTheme="minorHAnsi" w:cstheme="minorHAnsi"/>
          <w:sz w:val="24"/>
          <w:szCs w:val="24"/>
          <w:lang w:val="it-IT"/>
        </w:rPr>
        <w:t xml:space="preserve">, </w:t>
      </w:r>
      <w:r w:rsidRPr="00511922">
        <w:rPr>
          <w:rFonts w:asciiTheme="minorHAnsi" w:eastAsia="Arial Narrow" w:hAnsiTheme="minorHAnsi" w:cstheme="minorHAnsi"/>
          <w:sz w:val="24"/>
          <w:szCs w:val="24"/>
          <w:lang w:val="it-IT"/>
        </w:rPr>
        <w:t>Ministero del lavoro e delle politiche sociali, ISFOL, Roma, ISFOL, c2014</w:t>
      </w:r>
    </w:p>
    <w:p w14:paraId="15996A8C" w14:textId="77777777" w:rsidR="00455C88" w:rsidRPr="00511922" w:rsidRDefault="00455C88" w:rsidP="00511922">
      <w:pPr>
        <w:spacing w:line="1" w:lineRule="exact"/>
        <w:rPr>
          <w:rFonts w:asciiTheme="minorHAnsi" w:eastAsia="Times New Roman" w:hAnsiTheme="minorHAnsi" w:cstheme="minorHAnsi"/>
          <w:sz w:val="24"/>
          <w:szCs w:val="24"/>
          <w:lang w:val="it-IT"/>
        </w:rPr>
      </w:pPr>
    </w:p>
    <w:p w14:paraId="39992C37" w14:textId="77777777" w:rsidR="00455C88" w:rsidRPr="00511922" w:rsidRDefault="00455C88" w:rsidP="00511922">
      <w:pPr>
        <w:spacing w:line="239" w:lineRule="auto"/>
        <w:ind w:right="100"/>
        <w:rPr>
          <w:rFonts w:asciiTheme="minorHAnsi" w:eastAsia="Arial Narrow" w:hAnsiTheme="minorHAnsi" w:cstheme="minorHAnsi"/>
          <w:sz w:val="24"/>
          <w:szCs w:val="24"/>
          <w:lang w:val="it-IT"/>
        </w:rPr>
      </w:pPr>
      <w:r w:rsidRPr="00511922">
        <w:rPr>
          <w:rFonts w:asciiTheme="minorHAnsi" w:eastAsia="Arial Narrow" w:hAnsiTheme="minorHAnsi" w:cstheme="minorHAnsi"/>
          <w:sz w:val="24"/>
          <w:szCs w:val="24"/>
          <w:lang w:val="it-IT"/>
        </w:rPr>
        <w:t>Il testo raccoglie i risultati dell'attività svolta dal Progetto strategico Pro.P. Iniziato nel 2007, proseguito e consolidatosi negli anni successivi, nell'arco di tempo tra il 2012 e il 2014, il progetto si è posto i seguenti obiettivi: funzionamento e consolidamento delle reti; formazione degli operatori che interagiscono nelle reti; coinvolgimento degli attori territoriali che interagiscono con i servizi pubblici; valutazione del disagio giovanile e identificazione di percorsi per la transizione scuola-lavoro; creazioni di percorsi per il reinserimento socio-lavorativo di minori in misure alternative al carcere, di giovani in istituti di reclusione minorile e di adulti in carcere.</w:t>
      </w:r>
    </w:p>
    <w:p w14:paraId="57CDEE04" w14:textId="1CC6D148" w:rsidR="009A389B" w:rsidRPr="00511922" w:rsidRDefault="007F4C1C" w:rsidP="007F4C1C">
      <w:pPr>
        <w:spacing w:line="239" w:lineRule="auto"/>
        <w:ind w:right="100"/>
        <w:rPr>
          <w:rFonts w:asciiTheme="minorHAnsi" w:eastAsia="Arial Narrow" w:hAnsiTheme="minorHAnsi" w:cstheme="minorHAnsi"/>
          <w:sz w:val="24"/>
          <w:szCs w:val="24"/>
          <w:lang w:val="it-IT"/>
        </w:rPr>
      </w:pPr>
      <w:r>
        <w:rPr>
          <w:rFonts w:asciiTheme="minorHAnsi" w:eastAsia="Arial Narrow" w:hAnsiTheme="minorHAnsi" w:cstheme="minorHAnsi"/>
          <w:noProof/>
          <w:sz w:val="24"/>
          <w:szCs w:val="24"/>
          <w:lang w:val="it-IT" w:eastAsia="it-IT"/>
        </w:rPr>
        <w:drawing>
          <wp:inline distT="0" distB="0" distL="0" distR="0" wp14:anchorId="17EB294B" wp14:editId="77C35CAA">
            <wp:extent cx="774065" cy="109855"/>
            <wp:effectExtent l="0" t="0" r="6985" b="4445"/>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7DC841FF" w14:textId="77777777" w:rsidR="009A389B" w:rsidRPr="00511922" w:rsidRDefault="009A389B" w:rsidP="00511922">
      <w:pPr>
        <w:rPr>
          <w:rFonts w:asciiTheme="minorHAnsi" w:hAnsiTheme="minorHAnsi" w:cstheme="minorHAnsi"/>
          <w:bCs/>
          <w:iCs/>
          <w:sz w:val="24"/>
          <w:szCs w:val="24"/>
          <w:lang w:val="it-IT"/>
        </w:rPr>
      </w:pPr>
      <w:r w:rsidRPr="00511922">
        <w:rPr>
          <w:rFonts w:asciiTheme="minorHAnsi" w:hAnsiTheme="minorHAnsi" w:cstheme="minorHAnsi"/>
          <w:b/>
          <w:bCs/>
          <w:iCs/>
          <w:sz w:val="24"/>
          <w:szCs w:val="24"/>
          <w:lang w:val="it-IT"/>
        </w:rPr>
        <w:t xml:space="preserve">Competenze interrelazionali e reti degli operatori nella salute mentale. Inclusione attiva delle persone con disturbi psichici, </w:t>
      </w:r>
      <w:r w:rsidRPr="00511922">
        <w:rPr>
          <w:rFonts w:asciiTheme="minorHAnsi" w:hAnsiTheme="minorHAnsi" w:cstheme="minorHAnsi"/>
          <w:bCs/>
          <w:iCs/>
          <w:sz w:val="24"/>
          <w:szCs w:val="24"/>
          <w:lang w:val="it-IT"/>
        </w:rPr>
        <w:t>Criscuolo Francesca, Felice Alessandra, Spagnolo Amedeo, “Osservatorio Isfol”, 2013, n. 1-2,p. 155-171</w:t>
      </w:r>
    </w:p>
    <w:p w14:paraId="0698C18F" w14:textId="77777777" w:rsidR="009A389B" w:rsidRPr="00511922" w:rsidRDefault="009A389B" w:rsidP="00511922">
      <w:pPr>
        <w:rPr>
          <w:rFonts w:asciiTheme="minorHAnsi" w:hAnsiTheme="minorHAnsi" w:cstheme="minorHAnsi"/>
          <w:bCs/>
          <w:iCs/>
          <w:sz w:val="24"/>
          <w:szCs w:val="24"/>
          <w:lang w:val="it-IT"/>
        </w:rPr>
      </w:pPr>
      <w:r w:rsidRPr="00511922">
        <w:rPr>
          <w:rFonts w:asciiTheme="minorHAnsi" w:hAnsiTheme="minorHAnsi" w:cstheme="minorHAnsi"/>
          <w:bCs/>
          <w:iCs/>
          <w:sz w:val="24"/>
          <w:szCs w:val="24"/>
          <w:lang w:val="it-IT"/>
        </w:rPr>
        <w:t xml:space="preserve">Con una metodologia partecipata, dal Programma Isfol per il sostegno e lo sviluppo dei percorsi integrati d’inserimento socio-lavorativo dei soggetti con disturbo psichico (Pro.P), sono stati elaborati quattro modelli di competenze necessarie agli operatori </w:t>
      </w:r>
      <w:r w:rsidRPr="00511922">
        <w:rPr>
          <w:rFonts w:asciiTheme="minorHAnsi" w:hAnsiTheme="minorHAnsi" w:cstheme="minorHAnsi"/>
          <w:bCs/>
          <w:iCs/>
          <w:sz w:val="24"/>
          <w:szCs w:val="24"/>
          <w:lang w:val="it-IT"/>
        </w:rPr>
        <w:lastRenderedPageBreak/>
        <w:t>per svolgere il loro ruolo di affiancamento e supporto in momenti diversi dei percorsi di inclusione attiva.</w:t>
      </w:r>
    </w:p>
    <w:p w14:paraId="44420C07" w14:textId="4338318B" w:rsidR="00455C88" w:rsidRPr="00511922" w:rsidRDefault="007F4C1C" w:rsidP="00511922">
      <w:pPr>
        <w:spacing w:line="182" w:lineRule="exact"/>
        <w:rPr>
          <w:rFonts w:asciiTheme="minorHAnsi" w:eastAsia="Times New Roman" w:hAnsiTheme="minorHAnsi" w:cstheme="minorHAnsi"/>
          <w:sz w:val="24"/>
          <w:szCs w:val="24"/>
          <w:lang w:val="it-IT"/>
        </w:rPr>
      </w:pPr>
      <w:r>
        <w:rPr>
          <w:rFonts w:asciiTheme="minorHAnsi" w:eastAsia="Times New Roman" w:hAnsiTheme="minorHAnsi" w:cstheme="minorHAnsi"/>
          <w:noProof/>
          <w:sz w:val="24"/>
          <w:szCs w:val="24"/>
          <w:lang w:val="it-IT" w:eastAsia="it-IT"/>
        </w:rPr>
        <w:drawing>
          <wp:inline distT="0" distB="0" distL="0" distR="0" wp14:anchorId="136AC3AE" wp14:editId="4BC44281">
            <wp:extent cx="774065" cy="109855"/>
            <wp:effectExtent l="0" t="0" r="6985" b="4445"/>
            <wp:docPr id="44"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34D43E69" w14:textId="77777777" w:rsidR="00455C88" w:rsidRPr="00511922" w:rsidRDefault="00455C88" w:rsidP="00511922">
      <w:pPr>
        <w:spacing w:line="256" w:lineRule="auto"/>
        <w:ind w:right="40"/>
        <w:rPr>
          <w:rFonts w:asciiTheme="minorHAnsi" w:eastAsia="Arial Narrow" w:hAnsiTheme="minorHAnsi" w:cstheme="minorHAnsi"/>
          <w:sz w:val="24"/>
          <w:szCs w:val="24"/>
          <w:lang w:val="it-IT"/>
        </w:rPr>
      </w:pPr>
      <w:r w:rsidRPr="00511922">
        <w:rPr>
          <w:rFonts w:asciiTheme="minorHAnsi" w:eastAsia="Arial Narrow" w:hAnsiTheme="minorHAnsi" w:cstheme="minorHAnsi"/>
          <w:b/>
          <w:sz w:val="24"/>
          <w:szCs w:val="24"/>
          <w:lang w:val="it-IT"/>
        </w:rPr>
        <w:t>Le competenze trasversali nelle équipe della salute mentale</w:t>
      </w:r>
      <w:r w:rsidRPr="00511922">
        <w:rPr>
          <w:rFonts w:asciiTheme="minorHAnsi" w:eastAsia="Arial Narrow" w:hAnsiTheme="minorHAnsi" w:cstheme="minorHAnsi"/>
          <w:sz w:val="24"/>
          <w:szCs w:val="24"/>
          <w:lang w:val="it-IT"/>
        </w:rPr>
        <w:t>,</w:t>
      </w:r>
      <w:r w:rsidRPr="00511922">
        <w:rPr>
          <w:rFonts w:asciiTheme="minorHAnsi" w:eastAsia="Arial Narrow" w:hAnsiTheme="minorHAnsi" w:cstheme="minorHAnsi"/>
          <w:b/>
          <w:sz w:val="24"/>
          <w:szCs w:val="24"/>
          <w:lang w:val="it-IT"/>
        </w:rPr>
        <w:t xml:space="preserve"> </w:t>
      </w:r>
      <w:r w:rsidRPr="00511922">
        <w:rPr>
          <w:rFonts w:asciiTheme="minorHAnsi" w:eastAsia="Arial Narrow" w:hAnsiTheme="minorHAnsi" w:cstheme="minorHAnsi"/>
          <w:sz w:val="24"/>
          <w:szCs w:val="24"/>
          <w:lang w:val="it-IT"/>
        </w:rPr>
        <w:t>ISFOL ; a cura di Alessandra Felice</w:t>
      </w:r>
      <w:r w:rsidRPr="00511922">
        <w:rPr>
          <w:rFonts w:asciiTheme="minorHAnsi" w:eastAsia="Arial Narrow" w:hAnsiTheme="minorHAnsi" w:cstheme="minorHAnsi"/>
          <w:b/>
          <w:sz w:val="24"/>
          <w:szCs w:val="24"/>
          <w:lang w:val="it-IT"/>
        </w:rPr>
        <w:t xml:space="preserve"> </w:t>
      </w:r>
      <w:r w:rsidRPr="00511922">
        <w:rPr>
          <w:rFonts w:asciiTheme="minorHAnsi" w:eastAsia="Arial Narrow" w:hAnsiTheme="minorHAnsi" w:cstheme="minorHAnsi"/>
          <w:sz w:val="24"/>
          <w:szCs w:val="24"/>
          <w:lang w:val="it-IT"/>
        </w:rPr>
        <w:t>e Luisa D'Agostino, Roma, ISFOL, c2013 (I libri del Fondo sociale europeo ; 179)</w:t>
      </w:r>
    </w:p>
    <w:p w14:paraId="4D6B2221" w14:textId="6594994D" w:rsidR="00455C88" w:rsidRPr="00511922" w:rsidRDefault="00455C88" w:rsidP="00511922">
      <w:pPr>
        <w:spacing w:line="1" w:lineRule="exact"/>
        <w:rPr>
          <w:rFonts w:asciiTheme="minorHAnsi" w:eastAsia="Times New Roman" w:hAnsiTheme="minorHAnsi" w:cstheme="minorHAnsi"/>
          <w:sz w:val="24"/>
          <w:szCs w:val="24"/>
          <w:lang w:val="it-IT"/>
        </w:rPr>
      </w:pPr>
    </w:p>
    <w:p w14:paraId="2209199E" w14:textId="77777777" w:rsidR="00455C88" w:rsidRPr="00511922" w:rsidRDefault="00455C88" w:rsidP="00511922">
      <w:pPr>
        <w:spacing w:line="239" w:lineRule="auto"/>
        <w:ind w:right="40"/>
        <w:rPr>
          <w:rFonts w:asciiTheme="minorHAnsi" w:eastAsia="Arial Narrow" w:hAnsiTheme="minorHAnsi" w:cstheme="minorHAnsi"/>
          <w:sz w:val="24"/>
          <w:szCs w:val="24"/>
          <w:lang w:val="it-IT"/>
        </w:rPr>
      </w:pPr>
      <w:r w:rsidRPr="00511922">
        <w:rPr>
          <w:rFonts w:asciiTheme="minorHAnsi" w:eastAsia="Arial Narrow" w:hAnsiTheme="minorHAnsi" w:cstheme="minorHAnsi"/>
          <w:sz w:val="24"/>
          <w:szCs w:val="24"/>
          <w:lang w:val="it-IT"/>
        </w:rPr>
        <w:t>La pubblicazione costituisce il risultato di un lavoro realizzato dall'Isfol con il coinvolgimento degli operatori dei Centri Diurni di Roma e del Lazio e delle cooperative integrate che operano all'interno di questi servizi. Il volume nasce come risposta alla domanda di analisi delle competenze comuni che contraddistinguono il lavoro delle équipe degli operatori dei Centri, ed è frutto di riflessioni che scaturiscono da uno scenario europeo dove le competenze vengono esaminate nell’ambito di un processo molto più articolato di de-istituzionalizzazione e di organizzazione di nuove reti di servizi, e da un’esperienza, iniziata dall’Osservatorio sull’Inclusione Sociale alcuni anni prima con esperti di Hay Group in campi diversi da quello della salute mentale. I lavori precedenti con Hay Group riguardavano le competenze comuni di quegli operatori sociali che, in un rapporto di mentoring con la persona, si occupano di tossicodipendenti, di gruppi di auto-aiuto, di detenuti o di giovani drop out che si trovano al di fuori dei circuiti formativi e lavorativi.</w:t>
      </w:r>
    </w:p>
    <w:p w14:paraId="52287CC4" w14:textId="20960478" w:rsidR="00455C88" w:rsidRPr="00511922" w:rsidRDefault="007F4C1C" w:rsidP="00511922">
      <w:pPr>
        <w:spacing w:line="194" w:lineRule="exact"/>
        <w:rPr>
          <w:rFonts w:asciiTheme="minorHAnsi" w:eastAsia="Times New Roman" w:hAnsiTheme="minorHAnsi" w:cstheme="minorHAnsi"/>
          <w:sz w:val="24"/>
          <w:szCs w:val="24"/>
          <w:lang w:val="it-IT"/>
        </w:rPr>
      </w:pPr>
      <w:r>
        <w:rPr>
          <w:rFonts w:asciiTheme="minorHAnsi" w:eastAsia="Times New Roman" w:hAnsiTheme="minorHAnsi" w:cstheme="minorHAnsi"/>
          <w:noProof/>
          <w:sz w:val="24"/>
          <w:szCs w:val="24"/>
          <w:lang w:val="it-IT" w:eastAsia="it-IT"/>
        </w:rPr>
        <w:drawing>
          <wp:inline distT="0" distB="0" distL="0" distR="0" wp14:anchorId="13B8AA9C" wp14:editId="0262BA69">
            <wp:extent cx="774065" cy="109855"/>
            <wp:effectExtent l="0" t="0" r="6985" b="4445"/>
            <wp:docPr id="47"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76475825" w14:textId="77777777" w:rsidR="00455C88" w:rsidRPr="00511922" w:rsidRDefault="00455C88" w:rsidP="00511922">
      <w:pPr>
        <w:spacing w:line="253" w:lineRule="auto"/>
        <w:ind w:right="-3"/>
        <w:rPr>
          <w:rFonts w:asciiTheme="minorHAnsi" w:eastAsia="Arial Narrow" w:hAnsiTheme="minorHAnsi" w:cstheme="minorHAnsi"/>
          <w:sz w:val="24"/>
          <w:szCs w:val="24"/>
          <w:lang w:val="it-IT"/>
        </w:rPr>
      </w:pPr>
      <w:r w:rsidRPr="00511922">
        <w:rPr>
          <w:rFonts w:asciiTheme="minorHAnsi" w:eastAsia="Arial Narrow" w:hAnsiTheme="minorHAnsi" w:cstheme="minorHAnsi"/>
          <w:b/>
          <w:sz w:val="24"/>
          <w:szCs w:val="24"/>
          <w:lang w:val="it-IT"/>
        </w:rPr>
        <w:t>Il contributo del FSE 2007-2013 alla costruzione dei sistemi regionali di innovazione : prospettive per la valutazione</w:t>
      </w:r>
      <w:r w:rsidRPr="00511922">
        <w:rPr>
          <w:rFonts w:asciiTheme="minorHAnsi" w:eastAsia="Arial Narrow" w:hAnsiTheme="minorHAnsi" w:cstheme="minorHAnsi"/>
          <w:sz w:val="24"/>
          <w:szCs w:val="24"/>
          <w:lang w:val="it-IT"/>
        </w:rPr>
        <w:t>, ISFOL ; a cura di Silvia Ciampi e Cristina Lion, Roma, ISFOL,</w:t>
      </w:r>
      <w:r w:rsidRPr="00511922">
        <w:rPr>
          <w:rFonts w:asciiTheme="minorHAnsi" w:eastAsia="Arial Narrow" w:hAnsiTheme="minorHAnsi" w:cstheme="minorHAnsi"/>
          <w:b/>
          <w:sz w:val="24"/>
          <w:szCs w:val="24"/>
          <w:lang w:val="it-IT"/>
        </w:rPr>
        <w:t xml:space="preserve"> </w:t>
      </w:r>
      <w:r w:rsidRPr="00511922">
        <w:rPr>
          <w:rFonts w:asciiTheme="minorHAnsi" w:eastAsia="Arial Narrow" w:hAnsiTheme="minorHAnsi" w:cstheme="minorHAnsi"/>
          <w:sz w:val="24"/>
          <w:szCs w:val="24"/>
          <w:lang w:val="it-IT"/>
        </w:rPr>
        <w:t>c2014 (I libri del Fondo sociale europeo ; 193)</w:t>
      </w:r>
    </w:p>
    <w:p w14:paraId="2A0D87B1" w14:textId="09165EE4" w:rsidR="00455C88" w:rsidRPr="00511922" w:rsidRDefault="00455C88" w:rsidP="00511922">
      <w:pPr>
        <w:spacing w:line="1" w:lineRule="exact"/>
        <w:rPr>
          <w:rFonts w:asciiTheme="minorHAnsi" w:eastAsia="Times New Roman" w:hAnsiTheme="minorHAnsi" w:cstheme="minorHAnsi"/>
          <w:sz w:val="24"/>
          <w:szCs w:val="24"/>
          <w:lang w:val="it-IT"/>
        </w:rPr>
      </w:pPr>
    </w:p>
    <w:p w14:paraId="641B5BB4" w14:textId="77777777" w:rsidR="00455C88" w:rsidRPr="00511922" w:rsidRDefault="00455C88" w:rsidP="00511922">
      <w:pPr>
        <w:spacing w:line="239" w:lineRule="auto"/>
        <w:ind w:right="80"/>
        <w:rPr>
          <w:rFonts w:asciiTheme="minorHAnsi" w:eastAsia="Arial Narrow" w:hAnsiTheme="minorHAnsi" w:cstheme="minorHAnsi"/>
          <w:sz w:val="24"/>
          <w:szCs w:val="24"/>
          <w:lang w:val="it-IT"/>
        </w:rPr>
      </w:pPr>
      <w:r w:rsidRPr="00511922">
        <w:rPr>
          <w:rFonts w:asciiTheme="minorHAnsi" w:eastAsia="Arial Narrow" w:hAnsiTheme="minorHAnsi" w:cstheme="minorHAnsi"/>
          <w:sz w:val="24"/>
          <w:szCs w:val="24"/>
          <w:lang w:val="it-IT"/>
        </w:rPr>
        <w:t>Il volume presenta i risultati di una ricerca sugli interventi a sostegno dell’innovazione promossi dalle Regioni attraverso i Programmi operativi regionali di Fondo sociale europeo 2007-2013. In coerenza con il Regional Innovation System Approach, l’analisi si è concentrata su quegli interventi finalizzati al consolidamento e allo sviluppo dei “fattori abilitanti”, ricostruendo la logica delle azioni, le interazioni con le altre policy e le influenze che il contesto esercita sugli interventi. Lo studio offre ai policy maker evidenze circa il contributo del FSE alla creazione di sistemi regionali di innovazione e rappresenta uno strumento di analisi utile per la definizione della programmazione 2014-2020. Dalla ricerca emerge come l’impegno del FSE si sia concentrato prevalentemente su interventi di sostegno all’innovazione di tipo “tradizionale”, attraverso il finanziamento di percorsi formativi per il conseguimento di titoli post laurea, come master e dottorati di ricerca. Anche il supporto alla diffusione di processi di innovazione all’interno delle imprese rappresenta un ambito di intervento diffuso. Pur valutando questo impegno in linea con i fabbisogni espressi dai territori, lo studio raccomanda che in prospettiva si dia maggiore attenzione agli interventi in grado di rafforzare, in una logica di rete, le relazioni tra produttori e utilizzatori di conoscenza e alla valorizzazione delle competenze all’interno delle imprese. Cruciale diventa il potenziamento delle iniziative formative ed organizzative e degli strumenti di agevolazione finanziaria e/o mobilità, attraverso cui favorire l’inserimento nel sistema delle imprese di capitale umano di eccellenza.</w:t>
      </w:r>
    </w:p>
    <w:p w14:paraId="0A1795AF" w14:textId="3A237677" w:rsidR="00C77CA4" w:rsidRPr="00511922" w:rsidRDefault="007F4C1C" w:rsidP="007F4C1C">
      <w:pPr>
        <w:spacing w:line="239" w:lineRule="auto"/>
        <w:ind w:right="80"/>
        <w:jc w:val="left"/>
        <w:rPr>
          <w:rFonts w:asciiTheme="minorHAnsi" w:eastAsia="Arial Narrow" w:hAnsiTheme="minorHAnsi" w:cstheme="minorHAnsi"/>
          <w:sz w:val="24"/>
          <w:szCs w:val="24"/>
          <w:lang w:val="it-IT"/>
        </w:rPr>
      </w:pPr>
      <w:r>
        <w:rPr>
          <w:rFonts w:asciiTheme="minorHAnsi" w:eastAsia="Arial Narrow" w:hAnsiTheme="minorHAnsi" w:cstheme="minorHAnsi"/>
          <w:noProof/>
          <w:sz w:val="24"/>
          <w:szCs w:val="24"/>
          <w:lang w:val="it-IT" w:eastAsia="it-IT"/>
        </w:rPr>
        <w:drawing>
          <wp:inline distT="0" distB="0" distL="0" distR="0" wp14:anchorId="42686F12" wp14:editId="2F611305">
            <wp:extent cx="774065" cy="109855"/>
            <wp:effectExtent l="0" t="0" r="6985" b="4445"/>
            <wp:docPr id="64" name="Immagin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3E001040" w14:textId="77777777" w:rsidR="00C77CA4" w:rsidRPr="00511922" w:rsidRDefault="00C77CA4" w:rsidP="00511922">
      <w:pPr>
        <w:rPr>
          <w:rFonts w:asciiTheme="minorHAnsi" w:hAnsiTheme="minorHAnsi" w:cstheme="minorHAnsi"/>
          <w:bCs/>
          <w:iCs/>
          <w:sz w:val="24"/>
          <w:szCs w:val="24"/>
          <w:lang w:val="it-IT"/>
        </w:rPr>
      </w:pPr>
      <w:r w:rsidRPr="00511922">
        <w:rPr>
          <w:rFonts w:asciiTheme="minorHAnsi" w:hAnsiTheme="minorHAnsi" w:cstheme="minorHAnsi"/>
          <w:b/>
          <w:bCs/>
          <w:iCs/>
          <w:sz w:val="24"/>
          <w:szCs w:val="24"/>
          <w:lang w:val="it-IT"/>
        </w:rPr>
        <w:t>Detenuti, opportunità ed economia sociale: il trasferimento dell'esperienza italiana nel contesto rumeno</w:t>
      </w:r>
      <w:r w:rsidRPr="00511922">
        <w:rPr>
          <w:rFonts w:asciiTheme="minorHAnsi" w:hAnsiTheme="minorHAnsi" w:cstheme="minorHAnsi"/>
          <w:bCs/>
          <w:iCs/>
          <w:sz w:val="24"/>
          <w:szCs w:val="24"/>
          <w:lang w:val="it-IT"/>
        </w:rPr>
        <w:t>,</w:t>
      </w:r>
      <w:r w:rsidRPr="00511922">
        <w:rPr>
          <w:rFonts w:asciiTheme="minorHAnsi" w:hAnsiTheme="minorHAnsi" w:cstheme="minorHAnsi"/>
          <w:b/>
          <w:bCs/>
          <w:iCs/>
          <w:sz w:val="24"/>
          <w:szCs w:val="24"/>
          <w:lang w:val="it-IT"/>
        </w:rPr>
        <w:t xml:space="preserve"> </w:t>
      </w:r>
      <w:r w:rsidRPr="00511922">
        <w:rPr>
          <w:rFonts w:asciiTheme="minorHAnsi" w:hAnsiTheme="minorHAnsi" w:cstheme="minorHAnsi"/>
          <w:bCs/>
          <w:iCs/>
          <w:sz w:val="24"/>
          <w:szCs w:val="24"/>
          <w:lang w:val="it-IT"/>
        </w:rPr>
        <w:t xml:space="preserve">Calzolari Gianluca, De Mottoni Giovanna, Di Saverio Maria, Mastrangelo Maria Grazia, “Osservatorio Isfol”, 2013, n. 1-2, p. 135-154 </w:t>
      </w:r>
    </w:p>
    <w:p w14:paraId="237C4690" w14:textId="77777777" w:rsidR="00C77CA4" w:rsidRPr="00511922" w:rsidRDefault="00C77CA4" w:rsidP="00511922">
      <w:pPr>
        <w:rPr>
          <w:rFonts w:asciiTheme="minorHAnsi" w:hAnsiTheme="minorHAnsi" w:cstheme="minorHAnsi"/>
          <w:bCs/>
          <w:iCs/>
          <w:sz w:val="24"/>
          <w:szCs w:val="24"/>
          <w:lang w:val="it-IT"/>
        </w:rPr>
      </w:pPr>
      <w:r w:rsidRPr="00511922">
        <w:rPr>
          <w:rFonts w:asciiTheme="minorHAnsi" w:hAnsiTheme="minorHAnsi" w:cstheme="minorHAnsi"/>
          <w:bCs/>
          <w:iCs/>
          <w:sz w:val="24"/>
          <w:szCs w:val="24"/>
          <w:lang w:val="it-IT"/>
        </w:rPr>
        <w:lastRenderedPageBreak/>
        <w:t>Il contributo illustra un’esperienza di cooperazione transnazionale italo-romena – il progetto SOCIAL – che, a partire da una valorizzazione di itinerari di reinserimento realizzati nel nostro territorio, ha utilizzato l’economia sociale come strumento per l’inclusione degli ex-detenuti.</w:t>
      </w:r>
    </w:p>
    <w:p w14:paraId="452C57DA" w14:textId="47DDC700" w:rsidR="00C77CA4" w:rsidRPr="00511922" w:rsidRDefault="007F4C1C" w:rsidP="00511922">
      <w:pPr>
        <w:rPr>
          <w:rFonts w:asciiTheme="minorHAnsi" w:hAnsiTheme="minorHAnsi" w:cstheme="minorHAnsi"/>
          <w:bCs/>
          <w:iCs/>
          <w:sz w:val="24"/>
          <w:szCs w:val="24"/>
          <w:lang w:val="it-IT"/>
        </w:rPr>
      </w:pPr>
      <w:r>
        <w:rPr>
          <w:rFonts w:asciiTheme="minorHAnsi" w:hAnsiTheme="minorHAnsi" w:cstheme="minorHAnsi"/>
          <w:bCs/>
          <w:iCs/>
          <w:noProof/>
          <w:sz w:val="24"/>
          <w:szCs w:val="24"/>
          <w:lang w:val="it-IT" w:eastAsia="it-IT"/>
        </w:rPr>
        <w:drawing>
          <wp:inline distT="0" distB="0" distL="0" distR="0" wp14:anchorId="01600636" wp14:editId="595FB634">
            <wp:extent cx="774065" cy="109855"/>
            <wp:effectExtent l="0" t="0" r="6985" b="4445"/>
            <wp:docPr id="70" name="Immagin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30FC2F78" w14:textId="77777777" w:rsidR="00C77CA4" w:rsidRPr="00511922" w:rsidRDefault="00C77CA4" w:rsidP="00511922">
      <w:pPr>
        <w:rPr>
          <w:rFonts w:asciiTheme="minorHAnsi" w:hAnsiTheme="minorHAnsi" w:cstheme="minorHAnsi"/>
          <w:bCs/>
          <w:iCs/>
          <w:sz w:val="24"/>
          <w:szCs w:val="24"/>
          <w:lang w:val="it-IT"/>
        </w:rPr>
      </w:pPr>
      <w:r w:rsidRPr="00511922">
        <w:rPr>
          <w:rFonts w:asciiTheme="minorHAnsi" w:hAnsiTheme="minorHAnsi" w:cstheme="minorHAnsi"/>
          <w:b/>
          <w:bCs/>
          <w:iCs/>
          <w:sz w:val="24"/>
          <w:szCs w:val="24"/>
          <w:lang w:val="it-IT"/>
        </w:rPr>
        <w:t>Determinanti sociali nell’inserimento lavorativo</w:t>
      </w:r>
      <w:r w:rsidRPr="00511922">
        <w:rPr>
          <w:rFonts w:asciiTheme="minorHAnsi" w:hAnsiTheme="minorHAnsi" w:cstheme="minorHAnsi"/>
          <w:bCs/>
          <w:iCs/>
          <w:sz w:val="24"/>
          <w:szCs w:val="24"/>
          <w:lang w:val="it-IT"/>
        </w:rPr>
        <w:t>,</w:t>
      </w:r>
      <w:r w:rsidRPr="00511922">
        <w:rPr>
          <w:rFonts w:asciiTheme="minorHAnsi" w:hAnsiTheme="minorHAnsi" w:cstheme="minorHAnsi"/>
          <w:b/>
          <w:bCs/>
          <w:iCs/>
          <w:sz w:val="24"/>
          <w:szCs w:val="24"/>
          <w:lang w:val="it-IT"/>
        </w:rPr>
        <w:t xml:space="preserve"> </w:t>
      </w:r>
      <w:r w:rsidRPr="00511922">
        <w:rPr>
          <w:rFonts w:asciiTheme="minorHAnsi" w:hAnsiTheme="minorHAnsi" w:cstheme="minorHAnsi"/>
          <w:bCs/>
          <w:iCs/>
          <w:sz w:val="24"/>
          <w:szCs w:val="24"/>
          <w:lang w:val="it-IT"/>
        </w:rPr>
        <w:t>Spagnolo Amedeo,"Osservatorio Isfol", 2015,  n. 4, p. 87-96</w:t>
      </w:r>
    </w:p>
    <w:p w14:paraId="55B5DEC4" w14:textId="77777777" w:rsidR="00C77CA4" w:rsidRPr="00511922" w:rsidRDefault="00C77CA4" w:rsidP="00511922">
      <w:pPr>
        <w:rPr>
          <w:rFonts w:asciiTheme="minorHAnsi" w:hAnsiTheme="minorHAnsi" w:cstheme="minorHAnsi"/>
          <w:b/>
          <w:bCs/>
          <w:iCs/>
          <w:sz w:val="24"/>
          <w:szCs w:val="24"/>
          <w:lang w:val="it-IT"/>
        </w:rPr>
      </w:pPr>
      <w:r w:rsidRPr="00511922">
        <w:rPr>
          <w:rFonts w:asciiTheme="minorHAnsi" w:hAnsiTheme="minorHAnsi" w:cstheme="minorHAnsi"/>
          <w:bCs/>
          <w:iCs/>
          <w:sz w:val="24"/>
          <w:szCs w:val="24"/>
          <w:lang w:val="it-IT"/>
        </w:rPr>
        <w:t xml:space="preserve">L’indagine quali-quantitativa “Aziende e disagio psichico” condotta nel 2011 nell’ambito del Progetto Pro.P. ha avuto come obiettivo quello di identificare gli elementi che influiscono sull’entrata in azienda e sul mantenimento del posto di lavoro delle persone con disagio psichico, anche in relazione alle altre forme di disagio. </w:t>
      </w:r>
    </w:p>
    <w:p w14:paraId="45D60163" w14:textId="57C671F2" w:rsidR="00C77CA4" w:rsidRPr="00511922" w:rsidRDefault="007F4C1C" w:rsidP="007F4C1C">
      <w:pPr>
        <w:spacing w:line="239" w:lineRule="auto"/>
        <w:ind w:right="80"/>
        <w:rPr>
          <w:rFonts w:asciiTheme="minorHAnsi" w:eastAsia="Arial Narrow" w:hAnsiTheme="minorHAnsi" w:cstheme="minorHAnsi"/>
          <w:sz w:val="24"/>
          <w:szCs w:val="24"/>
          <w:lang w:val="it-IT"/>
        </w:rPr>
      </w:pPr>
      <w:r>
        <w:rPr>
          <w:rFonts w:asciiTheme="minorHAnsi" w:eastAsia="Arial Narrow" w:hAnsiTheme="minorHAnsi" w:cstheme="minorHAnsi"/>
          <w:noProof/>
          <w:sz w:val="24"/>
          <w:szCs w:val="24"/>
          <w:lang w:val="it-IT" w:eastAsia="it-IT"/>
        </w:rPr>
        <w:drawing>
          <wp:inline distT="0" distB="0" distL="0" distR="0" wp14:anchorId="574FF18A" wp14:editId="1679BFF9">
            <wp:extent cx="774065" cy="109855"/>
            <wp:effectExtent l="0" t="0" r="6985" b="4445"/>
            <wp:docPr id="71" name="Immagin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7C62D0B4" w14:textId="77777777" w:rsidR="00C77CA4" w:rsidRPr="00511922" w:rsidRDefault="00C77CA4" w:rsidP="00511922">
      <w:pPr>
        <w:rPr>
          <w:rFonts w:asciiTheme="minorHAnsi" w:hAnsiTheme="minorHAnsi" w:cstheme="minorHAnsi"/>
          <w:bCs/>
          <w:iCs/>
          <w:sz w:val="24"/>
          <w:szCs w:val="24"/>
          <w:lang w:val="it-IT"/>
        </w:rPr>
      </w:pPr>
      <w:r w:rsidRPr="00511922">
        <w:rPr>
          <w:rFonts w:asciiTheme="minorHAnsi" w:hAnsiTheme="minorHAnsi" w:cstheme="minorHAnsi"/>
          <w:b/>
          <w:bCs/>
          <w:iCs/>
          <w:sz w:val="24"/>
          <w:szCs w:val="24"/>
          <w:lang w:val="it-IT"/>
        </w:rPr>
        <w:t>La dimensione sociale nella Politica di Coesione europea 2014-2020</w:t>
      </w:r>
      <w:r w:rsidRPr="00511922">
        <w:rPr>
          <w:rFonts w:asciiTheme="minorHAnsi" w:hAnsiTheme="minorHAnsi" w:cstheme="minorHAnsi"/>
          <w:bCs/>
          <w:i/>
          <w:iCs/>
          <w:sz w:val="24"/>
          <w:szCs w:val="24"/>
          <w:lang w:val="it-IT"/>
        </w:rPr>
        <w:t>,</w:t>
      </w:r>
      <w:r w:rsidRPr="00511922">
        <w:rPr>
          <w:rFonts w:asciiTheme="minorHAnsi" w:hAnsiTheme="minorHAnsi" w:cstheme="minorHAnsi"/>
          <w:b/>
          <w:bCs/>
          <w:i/>
          <w:iCs/>
          <w:sz w:val="24"/>
          <w:szCs w:val="24"/>
          <w:lang w:val="it-IT"/>
        </w:rPr>
        <w:t xml:space="preserve"> </w:t>
      </w:r>
      <w:r w:rsidRPr="00511922">
        <w:rPr>
          <w:rFonts w:asciiTheme="minorHAnsi" w:hAnsiTheme="minorHAnsi" w:cstheme="minorHAnsi"/>
          <w:bCs/>
          <w:iCs/>
          <w:sz w:val="24"/>
          <w:szCs w:val="24"/>
          <w:lang w:val="it-IT"/>
        </w:rPr>
        <w:t>Marucci Marco, “Osservatorio Isfol”, 2014, n. 1-2, pp. 125-149</w:t>
      </w:r>
    </w:p>
    <w:p w14:paraId="20AF33CC" w14:textId="75ED810C" w:rsidR="00C77CA4" w:rsidRPr="00511922" w:rsidRDefault="00C77CA4" w:rsidP="00511922">
      <w:pPr>
        <w:spacing w:line="239" w:lineRule="auto"/>
        <w:ind w:right="80"/>
        <w:rPr>
          <w:rFonts w:asciiTheme="minorHAnsi" w:eastAsia="Arial Narrow" w:hAnsiTheme="minorHAnsi" w:cstheme="minorHAnsi"/>
          <w:sz w:val="24"/>
          <w:szCs w:val="24"/>
          <w:lang w:val="it-IT"/>
        </w:rPr>
      </w:pPr>
      <w:r w:rsidRPr="00511922">
        <w:rPr>
          <w:rFonts w:asciiTheme="minorHAnsi" w:hAnsiTheme="minorHAnsi" w:cstheme="minorHAnsi"/>
          <w:bCs/>
          <w:iCs/>
          <w:sz w:val="24"/>
          <w:szCs w:val="24"/>
          <w:lang w:val="it-IT"/>
        </w:rPr>
        <w:t>La comunicazione del 2 ottobre 2013 della Commissione Europea sul rafforzamento della dimensione sociale dell’Unione Economica e Monetaria “</w:t>
      </w:r>
      <w:r w:rsidRPr="00511922">
        <w:rPr>
          <w:rFonts w:asciiTheme="minorHAnsi" w:hAnsiTheme="minorHAnsi" w:cstheme="minorHAnsi"/>
          <w:bCs/>
          <w:i/>
          <w:iCs/>
          <w:sz w:val="24"/>
          <w:szCs w:val="24"/>
          <w:lang w:val="it-IT"/>
        </w:rPr>
        <w:t>Strenghtening the Social Dimension of the Economic and Monetary Union</w:t>
      </w:r>
      <w:r w:rsidRPr="00511922">
        <w:rPr>
          <w:rFonts w:asciiTheme="minorHAnsi" w:hAnsiTheme="minorHAnsi" w:cstheme="minorHAnsi"/>
          <w:bCs/>
          <w:iCs/>
          <w:sz w:val="24"/>
          <w:szCs w:val="24"/>
          <w:lang w:val="it-IT"/>
        </w:rPr>
        <w:t>”, stimola una riflessione sulle molteplici misure, di promozione e di controllo, che l’Europa sta mettendo in atto per portare il dialogo istituzionale sul piano dei diritti sociali e di cittadinanza.</w:t>
      </w:r>
    </w:p>
    <w:p w14:paraId="0899F065" w14:textId="3279F65C" w:rsidR="00455C88" w:rsidRPr="00511922" w:rsidRDefault="007F4C1C" w:rsidP="00511922">
      <w:pPr>
        <w:spacing w:line="200" w:lineRule="exact"/>
        <w:rPr>
          <w:rFonts w:asciiTheme="minorHAnsi" w:eastAsia="Times New Roman" w:hAnsiTheme="minorHAnsi" w:cstheme="minorHAnsi"/>
          <w:sz w:val="24"/>
          <w:szCs w:val="24"/>
          <w:lang w:val="it-IT"/>
        </w:rPr>
      </w:pPr>
      <w:bookmarkStart w:id="12" w:name="page3"/>
      <w:bookmarkEnd w:id="12"/>
      <w:r>
        <w:rPr>
          <w:rFonts w:asciiTheme="minorHAnsi" w:eastAsia="Times New Roman" w:hAnsiTheme="minorHAnsi" w:cstheme="minorHAnsi"/>
          <w:noProof/>
          <w:sz w:val="24"/>
          <w:szCs w:val="24"/>
          <w:lang w:val="it-IT" w:eastAsia="it-IT"/>
        </w:rPr>
        <w:drawing>
          <wp:inline distT="0" distB="0" distL="0" distR="0" wp14:anchorId="04599F75" wp14:editId="32459536">
            <wp:extent cx="774065" cy="109855"/>
            <wp:effectExtent l="0" t="0" r="6985" b="4445"/>
            <wp:docPr id="74" name="Immagin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14A80AAA" w14:textId="77777777" w:rsidR="00455C88" w:rsidRPr="00511922" w:rsidRDefault="00455C88" w:rsidP="00511922">
      <w:pPr>
        <w:spacing w:line="264" w:lineRule="auto"/>
        <w:ind w:right="-3"/>
        <w:rPr>
          <w:rFonts w:asciiTheme="minorHAnsi" w:eastAsia="Arial Narrow" w:hAnsiTheme="minorHAnsi" w:cstheme="minorHAnsi"/>
          <w:sz w:val="24"/>
          <w:szCs w:val="24"/>
          <w:lang w:val="it-IT"/>
        </w:rPr>
      </w:pPr>
      <w:r w:rsidRPr="00511922">
        <w:rPr>
          <w:rFonts w:asciiTheme="minorHAnsi" w:eastAsia="Arial Narrow" w:hAnsiTheme="minorHAnsi" w:cstheme="minorHAnsi"/>
          <w:b/>
          <w:sz w:val="24"/>
          <w:szCs w:val="24"/>
          <w:lang w:val="it-IT"/>
        </w:rPr>
        <w:t>Disagio psichico, minori e recupero</w:t>
      </w:r>
      <w:r w:rsidRPr="00511922">
        <w:rPr>
          <w:rFonts w:asciiTheme="minorHAnsi" w:eastAsia="Arial Narrow" w:hAnsiTheme="minorHAnsi" w:cstheme="minorHAnsi"/>
          <w:sz w:val="24"/>
          <w:szCs w:val="24"/>
          <w:lang w:val="it-IT"/>
        </w:rPr>
        <w:t>, ISFOL ; a cura di Rita Pedullà e Giovanni Bartoli, Roma, ISFOL, c2014 (I libri del Fondo sociale europeo ; 200)</w:t>
      </w:r>
    </w:p>
    <w:p w14:paraId="0DADE989" w14:textId="0505253D" w:rsidR="00455C88" w:rsidRPr="00511922" w:rsidRDefault="00455C88" w:rsidP="00511922">
      <w:pPr>
        <w:spacing w:line="1" w:lineRule="exact"/>
        <w:rPr>
          <w:rFonts w:asciiTheme="minorHAnsi" w:eastAsia="Times New Roman" w:hAnsiTheme="minorHAnsi" w:cstheme="minorHAnsi"/>
          <w:sz w:val="24"/>
          <w:szCs w:val="24"/>
          <w:lang w:val="it-IT"/>
        </w:rPr>
      </w:pPr>
    </w:p>
    <w:p w14:paraId="63E4F513" w14:textId="77777777" w:rsidR="00455C88" w:rsidRPr="00511922" w:rsidRDefault="00455C88" w:rsidP="00511922">
      <w:pPr>
        <w:spacing w:line="239" w:lineRule="auto"/>
        <w:ind w:right="60"/>
        <w:rPr>
          <w:rFonts w:asciiTheme="minorHAnsi" w:eastAsia="Arial Narrow" w:hAnsiTheme="minorHAnsi" w:cstheme="minorHAnsi"/>
          <w:sz w:val="24"/>
          <w:szCs w:val="24"/>
          <w:lang w:val="it-IT"/>
        </w:rPr>
      </w:pPr>
      <w:r w:rsidRPr="00511922">
        <w:rPr>
          <w:rFonts w:asciiTheme="minorHAnsi" w:eastAsia="Arial Narrow" w:hAnsiTheme="minorHAnsi" w:cstheme="minorHAnsi"/>
          <w:sz w:val="24"/>
          <w:szCs w:val="24"/>
          <w:lang w:val="it-IT"/>
        </w:rPr>
        <w:t>Favorire l’ingresso nel mondo del lavoro da parte di minori e giovani con problemi di sofferenza psichica è il focus della ricerca: “Inserimento lavorativo delle persone con disagio psichico, in particolare minori e giovani adulti, 14/21 anni, sottoposti a misure civili o penali alternative al carcere, collocati in comunità/casa famiglia (D.P.R. 448/88)”. Nel volume è contenuta la descrizione dettagliata dell’oggetto dell’indagine, spiegando le ragioni di base del disagio giovanile. Parallelamente sono state evidenziate e analizzate in dettaglio, le buone pratiche di recupero rivolte a minori e giovani sottoposti a misure cautelari alternative alla pena detentiva, collocati in comunità/casa famiglia. Lo svolgimento delle indagini è stato concentrato nelle regioni campione utilizzate come prototipo di studio, quali Campania, Puglia, Lazio, Toscana e Marche, per individuare percorsi-tipo di recupero che possano essere diffusi e replicabili in realtà analoghe sul territorio italiano attraverso l’analisi e la raccolta di esperienze che mirano alla prevenzione, al reinserimento ed al recupero di giovani particolarmente a rischio.</w:t>
      </w:r>
    </w:p>
    <w:p w14:paraId="2ED8DAF2" w14:textId="130DDF32" w:rsidR="00DA20DA" w:rsidRPr="00511922" w:rsidRDefault="007F4C1C" w:rsidP="00511922">
      <w:pPr>
        <w:rPr>
          <w:rFonts w:asciiTheme="minorHAnsi" w:hAnsiTheme="minorHAnsi" w:cstheme="minorHAnsi"/>
          <w:bCs/>
          <w:iCs/>
          <w:sz w:val="24"/>
          <w:szCs w:val="24"/>
          <w:lang w:val="it-IT"/>
        </w:rPr>
      </w:pPr>
      <w:r>
        <w:rPr>
          <w:rFonts w:asciiTheme="minorHAnsi" w:hAnsiTheme="minorHAnsi" w:cstheme="minorHAnsi"/>
          <w:bCs/>
          <w:iCs/>
          <w:noProof/>
          <w:sz w:val="24"/>
          <w:szCs w:val="24"/>
          <w:lang w:val="it-IT" w:eastAsia="it-IT"/>
        </w:rPr>
        <w:drawing>
          <wp:inline distT="0" distB="0" distL="0" distR="0" wp14:anchorId="777D4986" wp14:editId="699EFAF1">
            <wp:extent cx="774065" cy="109855"/>
            <wp:effectExtent l="0" t="0" r="6985" b="4445"/>
            <wp:docPr id="75" name="Immagin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1F81B563" w14:textId="77777777" w:rsidR="00C77CA4" w:rsidRPr="00511922" w:rsidRDefault="00C77CA4" w:rsidP="00511922">
      <w:pPr>
        <w:tabs>
          <w:tab w:val="left" w:pos="9920"/>
        </w:tabs>
        <w:spacing w:line="253" w:lineRule="auto"/>
        <w:ind w:right="-3"/>
        <w:rPr>
          <w:rFonts w:asciiTheme="minorHAnsi" w:eastAsia="Arial Narrow" w:hAnsiTheme="minorHAnsi" w:cstheme="minorHAnsi"/>
          <w:sz w:val="24"/>
          <w:szCs w:val="24"/>
          <w:lang w:val="it-IT"/>
        </w:rPr>
      </w:pPr>
      <w:r w:rsidRPr="00511922">
        <w:rPr>
          <w:rFonts w:asciiTheme="minorHAnsi" w:eastAsia="Arial Narrow" w:hAnsiTheme="minorHAnsi" w:cstheme="minorHAnsi"/>
          <w:b/>
          <w:sz w:val="24"/>
          <w:szCs w:val="24"/>
          <w:lang w:val="it-IT"/>
        </w:rPr>
        <w:t>Esclusione sociale e finanziaria nell’area metropolitana di Napoli : l’applicazione del modello MACaD-ISFOL</w:t>
      </w:r>
      <w:r w:rsidRPr="00511922">
        <w:rPr>
          <w:rFonts w:asciiTheme="minorHAnsi" w:eastAsia="Arial Narrow" w:hAnsiTheme="minorHAnsi" w:cstheme="minorHAnsi"/>
          <w:sz w:val="24"/>
          <w:szCs w:val="24"/>
          <w:lang w:val="it-IT"/>
        </w:rPr>
        <w:t>, ISFOL ; Matteo D'Emilione ... [et al.], Roma, ISFOL, c2014 (Isfol Occasional paper ; 17)</w:t>
      </w:r>
    </w:p>
    <w:p w14:paraId="4E18487E" w14:textId="20CD8306" w:rsidR="00C77CA4" w:rsidRPr="00511922" w:rsidRDefault="00C77CA4" w:rsidP="00511922">
      <w:pPr>
        <w:spacing w:line="1" w:lineRule="exact"/>
        <w:rPr>
          <w:rFonts w:asciiTheme="minorHAnsi" w:eastAsia="Times New Roman" w:hAnsiTheme="minorHAnsi" w:cstheme="minorHAnsi"/>
          <w:sz w:val="24"/>
          <w:szCs w:val="24"/>
          <w:lang w:val="it-IT"/>
        </w:rPr>
      </w:pPr>
    </w:p>
    <w:p w14:paraId="14A1E617" w14:textId="77777777" w:rsidR="00C77CA4" w:rsidRPr="00511922" w:rsidRDefault="00C77CA4" w:rsidP="00511922">
      <w:pPr>
        <w:spacing w:line="239" w:lineRule="auto"/>
        <w:ind w:right="-3"/>
        <w:rPr>
          <w:rFonts w:asciiTheme="minorHAnsi" w:eastAsia="Arial Narrow" w:hAnsiTheme="minorHAnsi" w:cstheme="minorHAnsi"/>
          <w:sz w:val="24"/>
          <w:szCs w:val="24"/>
          <w:lang w:val="it-IT"/>
        </w:rPr>
      </w:pPr>
      <w:r w:rsidRPr="00511922">
        <w:rPr>
          <w:rFonts w:asciiTheme="minorHAnsi" w:eastAsia="Arial Narrow" w:hAnsiTheme="minorHAnsi" w:cstheme="minorHAnsi"/>
          <w:sz w:val="24"/>
          <w:szCs w:val="24"/>
          <w:lang w:val="it-IT"/>
        </w:rPr>
        <w:t xml:space="preserve">Il paper presenta i risultati dell’applicazione del modello MACaD-ISFOL nell’area metropolitana di Napoli in un arco temporale di circa sei mesi nel 2013. Il lavoro di indagine è stato condotto principalmente su due gruppi di popolazione in situazioni di difficoltà: gli utenti dei servizi sociali di alcune municipalità e gli utenti dei centri di ascolto della Caritas di Napoli. In totale è stato possibile realizzare 770 interviste (campione non rappresentativo). Il risultato complessivo dell’applicazione dell’indice multidimensionale mette in evidenza come, in termini relativi, oltre il 30% degli </w:t>
      </w:r>
      <w:r w:rsidRPr="00511922">
        <w:rPr>
          <w:rFonts w:asciiTheme="minorHAnsi" w:eastAsia="Arial Narrow" w:hAnsiTheme="minorHAnsi" w:cstheme="minorHAnsi"/>
          <w:sz w:val="24"/>
          <w:szCs w:val="24"/>
          <w:lang w:val="it-IT"/>
        </w:rPr>
        <w:lastRenderedPageBreak/>
        <w:t>individui intervistati appaia fortemente deprivato in tutte e sei le dimensioni di vita considerate. Siamo di fronte dunque a situazioni multiproblematiche all’interno di un campione già fortemente selezionato poiché costituito per definizione da persone in difficoltà (utenti dei servizi sociali e utenti della Caritas). Attraverso la decomposizione dell’indice multidimensionale, il modello MACaD ha permesso di individuare le dimensioni che più di altre contribuiscono nel definire il posizionamento delle persone lungo gli assi; le dimensioni in questione sono: generare reddito e acquisire conoscenza.</w:t>
      </w:r>
    </w:p>
    <w:p w14:paraId="619ABE9B" w14:textId="319DABE8" w:rsidR="00455C88" w:rsidRPr="00511922" w:rsidRDefault="007F4C1C" w:rsidP="00511922">
      <w:pPr>
        <w:spacing w:line="195" w:lineRule="exact"/>
        <w:rPr>
          <w:rFonts w:asciiTheme="minorHAnsi" w:eastAsia="Times New Roman" w:hAnsiTheme="minorHAnsi" w:cstheme="minorHAnsi"/>
          <w:sz w:val="24"/>
          <w:szCs w:val="24"/>
          <w:lang w:val="it-IT"/>
        </w:rPr>
      </w:pPr>
      <w:r>
        <w:rPr>
          <w:rFonts w:asciiTheme="minorHAnsi" w:eastAsia="Times New Roman" w:hAnsiTheme="minorHAnsi" w:cstheme="minorHAnsi"/>
          <w:noProof/>
          <w:sz w:val="24"/>
          <w:szCs w:val="24"/>
          <w:lang w:val="it-IT" w:eastAsia="it-IT"/>
        </w:rPr>
        <w:drawing>
          <wp:inline distT="0" distB="0" distL="0" distR="0" wp14:anchorId="67F3758E" wp14:editId="06DB9988">
            <wp:extent cx="774065" cy="109855"/>
            <wp:effectExtent l="0" t="0" r="6985" b="4445"/>
            <wp:docPr id="76" name="Immagin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088F1EF2" w14:textId="77777777" w:rsidR="00455C88" w:rsidRPr="00511922" w:rsidRDefault="00455C88" w:rsidP="00511922">
      <w:pPr>
        <w:spacing w:line="253" w:lineRule="auto"/>
        <w:ind w:right="-3"/>
        <w:rPr>
          <w:rFonts w:asciiTheme="minorHAnsi" w:eastAsia="Arial Narrow" w:hAnsiTheme="minorHAnsi" w:cstheme="minorHAnsi"/>
          <w:sz w:val="24"/>
          <w:szCs w:val="24"/>
          <w:lang w:val="it-IT"/>
        </w:rPr>
      </w:pPr>
      <w:r w:rsidRPr="00511922">
        <w:rPr>
          <w:rFonts w:asciiTheme="minorHAnsi" w:eastAsia="Arial Narrow" w:hAnsiTheme="minorHAnsi" w:cstheme="minorHAnsi"/>
          <w:b/>
          <w:sz w:val="24"/>
          <w:szCs w:val="24"/>
          <w:lang w:val="it-IT"/>
        </w:rPr>
        <w:t>Il FSE e la dimensione integrata delle politiche : implicazioni per la politica regionale e la programmazione territoriale,</w:t>
      </w:r>
      <w:r w:rsidRPr="00511922">
        <w:rPr>
          <w:rFonts w:asciiTheme="minorHAnsi" w:eastAsia="Arial Narrow" w:hAnsiTheme="minorHAnsi" w:cstheme="minorHAnsi"/>
          <w:sz w:val="24"/>
          <w:szCs w:val="24"/>
          <w:lang w:val="it-IT"/>
        </w:rPr>
        <w:t xml:space="preserve"> ISFOL ; Silvia Ciampi ... [et al.], Roma, ISFOL, c2015 (Isfol Research Paper ; 22)</w:t>
      </w:r>
    </w:p>
    <w:p w14:paraId="75A2ED32" w14:textId="16F3431F" w:rsidR="00455C88" w:rsidRPr="00511922" w:rsidRDefault="00455C88" w:rsidP="00511922">
      <w:pPr>
        <w:spacing w:line="1" w:lineRule="exact"/>
        <w:rPr>
          <w:rFonts w:asciiTheme="minorHAnsi" w:eastAsia="Times New Roman" w:hAnsiTheme="minorHAnsi" w:cstheme="minorHAnsi"/>
          <w:sz w:val="24"/>
          <w:szCs w:val="24"/>
          <w:lang w:val="it-IT"/>
        </w:rPr>
      </w:pPr>
    </w:p>
    <w:p w14:paraId="06729BB7" w14:textId="77777777" w:rsidR="00455C88" w:rsidRPr="00511922" w:rsidRDefault="00455C88" w:rsidP="00511922">
      <w:pPr>
        <w:spacing w:line="239" w:lineRule="auto"/>
        <w:ind w:right="40"/>
        <w:rPr>
          <w:rFonts w:asciiTheme="minorHAnsi" w:eastAsia="Arial Narrow" w:hAnsiTheme="minorHAnsi" w:cstheme="minorHAnsi"/>
          <w:sz w:val="24"/>
          <w:szCs w:val="24"/>
          <w:lang w:val="it-IT"/>
        </w:rPr>
      </w:pPr>
      <w:r w:rsidRPr="00511922">
        <w:rPr>
          <w:rFonts w:asciiTheme="minorHAnsi" w:eastAsia="Arial Narrow" w:hAnsiTheme="minorHAnsi" w:cstheme="minorHAnsi"/>
          <w:sz w:val="24"/>
          <w:szCs w:val="24"/>
          <w:lang w:val="it-IT"/>
        </w:rPr>
        <w:t>Il presente contributo intende fornire una riflessione sull’uso del FSE in progetti/programmi che si propongono di intervenire su specifici ambiti territoriali, ricorrendo a più strumenti di policy e diverse fonti di finanziamento. Quello dell’integrazione è un concetto non nuovo nella programmazione dei fondi strutturali e il nuovo ciclo di programmazione pone un’attenzione particolare non solo sull’uso delle risorse, ma anche sui problemi da affrontare (in chiave integrata) e sulla governance delle azioni. A partire da una ricognizione dei documenti di attuazione e da interviste in profondità, il contributo si propone di isolare quelle esperienze che nel ciclo di programmazione 2007-2013, in modo più o meno marcato, presentano una peculiare caratteristica dell’integrazione (fondi, politiche, rilevanza del contesto) e in cui è possibile rintracciare il ruolo svolto dal FSE.</w:t>
      </w:r>
    </w:p>
    <w:p w14:paraId="1E0D4616" w14:textId="79256F6D" w:rsidR="005F54A2" w:rsidRPr="00511922" w:rsidRDefault="007F4C1C" w:rsidP="007F4C1C">
      <w:pPr>
        <w:spacing w:line="239" w:lineRule="auto"/>
        <w:ind w:right="40"/>
        <w:rPr>
          <w:rFonts w:asciiTheme="minorHAnsi" w:eastAsia="Arial Narrow" w:hAnsiTheme="minorHAnsi" w:cstheme="minorHAnsi"/>
          <w:sz w:val="24"/>
          <w:szCs w:val="24"/>
          <w:lang w:val="it-IT"/>
        </w:rPr>
      </w:pPr>
      <w:r>
        <w:rPr>
          <w:rFonts w:asciiTheme="minorHAnsi" w:eastAsia="Arial Narrow" w:hAnsiTheme="minorHAnsi" w:cstheme="minorHAnsi"/>
          <w:noProof/>
          <w:sz w:val="24"/>
          <w:szCs w:val="24"/>
          <w:lang w:val="it-IT" w:eastAsia="it-IT"/>
        </w:rPr>
        <w:drawing>
          <wp:inline distT="0" distB="0" distL="0" distR="0" wp14:anchorId="7C15F45D" wp14:editId="764967F1">
            <wp:extent cx="774065" cy="109855"/>
            <wp:effectExtent l="0" t="0" r="6985" b="4445"/>
            <wp:docPr id="77" name="Immagin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0FF6225D" w14:textId="77777777" w:rsidR="00DA20DA" w:rsidRPr="00511922" w:rsidRDefault="00DA20DA" w:rsidP="00511922">
      <w:pPr>
        <w:rPr>
          <w:rFonts w:asciiTheme="minorHAnsi" w:hAnsiTheme="minorHAnsi" w:cstheme="minorHAnsi"/>
          <w:b/>
          <w:bCs/>
          <w:iCs/>
          <w:sz w:val="24"/>
          <w:szCs w:val="24"/>
          <w:lang w:val="it-IT"/>
        </w:rPr>
      </w:pPr>
      <w:r w:rsidRPr="007F4C1C">
        <w:rPr>
          <w:rFonts w:asciiTheme="minorHAnsi" w:hAnsiTheme="minorHAnsi" w:cstheme="minorHAnsi"/>
          <w:b/>
          <w:bCs/>
          <w:iCs/>
          <w:sz w:val="24"/>
          <w:szCs w:val="24"/>
          <w:lang w:val="it-IT"/>
        </w:rPr>
        <w:t>Giovani e rischio di disagio psichico</w:t>
      </w:r>
      <w:r w:rsidRPr="007F4C1C">
        <w:rPr>
          <w:rFonts w:asciiTheme="minorHAnsi" w:hAnsiTheme="minorHAnsi" w:cstheme="minorHAnsi"/>
          <w:bCs/>
          <w:iCs/>
          <w:sz w:val="24"/>
          <w:szCs w:val="24"/>
          <w:lang w:val="it-IT"/>
        </w:rPr>
        <w:t>,</w:t>
      </w:r>
      <w:r w:rsidRPr="00511922">
        <w:rPr>
          <w:rFonts w:asciiTheme="minorHAnsi" w:hAnsiTheme="minorHAnsi" w:cstheme="minorHAnsi"/>
          <w:b/>
          <w:bCs/>
          <w:iCs/>
          <w:sz w:val="24"/>
          <w:szCs w:val="24"/>
          <w:lang w:val="it-IT"/>
        </w:rPr>
        <w:t xml:space="preserve"> </w:t>
      </w:r>
      <w:r w:rsidRPr="00511922">
        <w:rPr>
          <w:rFonts w:asciiTheme="minorHAnsi" w:hAnsiTheme="minorHAnsi" w:cstheme="minorHAnsi"/>
          <w:bCs/>
          <w:iCs/>
          <w:sz w:val="24"/>
          <w:szCs w:val="24"/>
          <w:lang w:val="it-IT"/>
        </w:rPr>
        <w:t>Pavoncello Daniela,"Osservatorio Isfol", 2015,  n. 4, pp. 25-45</w:t>
      </w:r>
      <w:r w:rsidRPr="00511922">
        <w:rPr>
          <w:rFonts w:asciiTheme="minorHAnsi" w:hAnsiTheme="minorHAnsi" w:cstheme="minorHAnsi"/>
          <w:b/>
          <w:bCs/>
          <w:iCs/>
          <w:sz w:val="24"/>
          <w:szCs w:val="24"/>
          <w:lang w:val="it-IT"/>
        </w:rPr>
        <w:t xml:space="preserve"> </w:t>
      </w:r>
    </w:p>
    <w:p w14:paraId="70910FD7" w14:textId="77777777" w:rsidR="00DA20DA" w:rsidRPr="00511922" w:rsidRDefault="00DA20DA" w:rsidP="00511922">
      <w:pPr>
        <w:rPr>
          <w:rFonts w:asciiTheme="minorHAnsi" w:hAnsiTheme="minorHAnsi" w:cstheme="minorHAnsi"/>
          <w:bCs/>
          <w:iCs/>
          <w:sz w:val="24"/>
          <w:szCs w:val="24"/>
          <w:lang w:val="it-IT"/>
        </w:rPr>
      </w:pPr>
      <w:r w:rsidRPr="00511922">
        <w:rPr>
          <w:rFonts w:asciiTheme="minorHAnsi" w:hAnsiTheme="minorHAnsi" w:cstheme="minorHAnsi"/>
          <w:bCs/>
          <w:iCs/>
          <w:sz w:val="24"/>
          <w:szCs w:val="24"/>
          <w:lang w:val="it-IT"/>
        </w:rPr>
        <w:t>Il lavoro di ricerca svolto dall’Isfol si è proposto di indagare i fattori di rischio e protezione del disagio psichico dei giovani studenti presenti negli Istituti secondari di secondo grado in cinque Regioni italiane (Campania, Lazio, Marche, Molise e Puglia).</w:t>
      </w:r>
    </w:p>
    <w:p w14:paraId="2C3F358D" w14:textId="3D513814" w:rsidR="00DA20DA" w:rsidRPr="00511922" w:rsidRDefault="007F4C1C" w:rsidP="007F4C1C">
      <w:pPr>
        <w:spacing w:line="239" w:lineRule="auto"/>
        <w:ind w:right="40"/>
        <w:rPr>
          <w:rFonts w:asciiTheme="minorHAnsi" w:eastAsia="Arial Narrow" w:hAnsiTheme="minorHAnsi" w:cstheme="minorHAnsi"/>
          <w:sz w:val="24"/>
          <w:szCs w:val="24"/>
          <w:lang w:val="it-IT"/>
        </w:rPr>
      </w:pPr>
      <w:r>
        <w:rPr>
          <w:rFonts w:asciiTheme="minorHAnsi" w:eastAsia="Arial Narrow" w:hAnsiTheme="minorHAnsi" w:cstheme="minorHAnsi"/>
          <w:noProof/>
          <w:sz w:val="24"/>
          <w:szCs w:val="24"/>
          <w:lang w:val="it-IT" w:eastAsia="it-IT"/>
        </w:rPr>
        <w:drawing>
          <wp:inline distT="0" distB="0" distL="0" distR="0" wp14:anchorId="7CA01CDF" wp14:editId="20D24296">
            <wp:extent cx="774065" cy="109855"/>
            <wp:effectExtent l="0" t="0" r="6985" b="4445"/>
            <wp:docPr id="78" name="Immagin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40A6A935" w14:textId="77777777" w:rsidR="00455C88" w:rsidRPr="00511922" w:rsidRDefault="00455C88" w:rsidP="00511922">
      <w:pPr>
        <w:spacing w:line="253" w:lineRule="auto"/>
        <w:ind w:right="40"/>
        <w:rPr>
          <w:rFonts w:asciiTheme="minorHAnsi" w:eastAsia="Arial Narrow" w:hAnsiTheme="minorHAnsi" w:cstheme="minorHAnsi"/>
          <w:sz w:val="24"/>
          <w:szCs w:val="24"/>
          <w:lang w:val="it-IT"/>
        </w:rPr>
      </w:pPr>
      <w:r w:rsidRPr="00511922">
        <w:rPr>
          <w:rFonts w:asciiTheme="minorHAnsi" w:eastAsia="Arial Narrow" w:hAnsiTheme="minorHAnsi" w:cstheme="minorHAnsi"/>
          <w:b/>
          <w:sz w:val="24"/>
          <w:szCs w:val="24"/>
          <w:lang w:val="it-IT"/>
        </w:rPr>
        <w:t>Giovani immigrati di seconda generazione, formazione professionale, occupabilità e cittadinanza attiva</w:t>
      </w:r>
      <w:r w:rsidRPr="00511922">
        <w:rPr>
          <w:rFonts w:asciiTheme="minorHAnsi" w:eastAsia="Arial Narrow" w:hAnsiTheme="minorHAnsi" w:cstheme="minorHAnsi"/>
          <w:sz w:val="24"/>
          <w:szCs w:val="24"/>
          <w:lang w:val="it-IT"/>
        </w:rPr>
        <w:t>, ISFOL ; a cura di Luisa Daniele,</w:t>
      </w:r>
      <w:r w:rsidRPr="00511922">
        <w:rPr>
          <w:rFonts w:asciiTheme="minorHAnsi" w:eastAsia="Arial Narrow" w:hAnsiTheme="minorHAnsi" w:cstheme="minorHAnsi"/>
          <w:b/>
          <w:sz w:val="24"/>
          <w:szCs w:val="24"/>
          <w:lang w:val="it-IT"/>
        </w:rPr>
        <w:t xml:space="preserve"> </w:t>
      </w:r>
      <w:r w:rsidRPr="00511922">
        <w:rPr>
          <w:rFonts w:asciiTheme="minorHAnsi" w:eastAsia="Arial Narrow" w:hAnsiTheme="minorHAnsi" w:cstheme="minorHAnsi"/>
          <w:sz w:val="24"/>
          <w:szCs w:val="24"/>
          <w:lang w:val="it-IT"/>
        </w:rPr>
        <w:t>Roma, ISFOL, c2014 (Isfol Research Paper ; 12)</w:t>
      </w:r>
    </w:p>
    <w:p w14:paraId="54B63616" w14:textId="70B09AA8" w:rsidR="00455C88" w:rsidRPr="00511922" w:rsidRDefault="00455C88" w:rsidP="00511922">
      <w:pPr>
        <w:spacing w:line="1" w:lineRule="exact"/>
        <w:rPr>
          <w:rFonts w:asciiTheme="minorHAnsi" w:eastAsia="Times New Roman" w:hAnsiTheme="minorHAnsi" w:cstheme="minorHAnsi"/>
          <w:sz w:val="24"/>
          <w:szCs w:val="24"/>
          <w:lang w:val="it-IT"/>
        </w:rPr>
      </w:pPr>
    </w:p>
    <w:p w14:paraId="6D45D00B" w14:textId="77777777" w:rsidR="00455C88" w:rsidRPr="00511922" w:rsidRDefault="00455C88" w:rsidP="00511922">
      <w:pPr>
        <w:spacing w:line="239" w:lineRule="auto"/>
        <w:ind w:right="-3"/>
        <w:rPr>
          <w:rFonts w:asciiTheme="minorHAnsi" w:eastAsia="Arial Narrow" w:hAnsiTheme="minorHAnsi" w:cstheme="minorHAnsi"/>
          <w:sz w:val="24"/>
          <w:szCs w:val="24"/>
          <w:lang w:val="it-IT"/>
        </w:rPr>
      </w:pPr>
      <w:r w:rsidRPr="00511922">
        <w:rPr>
          <w:rFonts w:asciiTheme="minorHAnsi" w:eastAsia="Arial Narrow" w:hAnsiTheme="minorHAnsi" w:cstheme="minorHAnsi"/>
          <w:sz w:val="24"/>
          <w:szCs w:val="24"/>
          <w:lang w:val="it-IT"/>
        </w:rPr>
        <w:t xml:space="preserve">Il paper presenta i risultati della prima fase della ricerca: “Giovani immigrati di seconda generazione, formazione professionale, occupabilità e cittadinanza attiva”. La ricerca muove dalla constatazione di un vuoto conoscitivo nella letteratura e nella documentazione scientifica disponibile a livello nazionale, relativo al fenomeno della presenza di giovani stranieri di seconda generazione (figli di immigrati nati in Italia o ivi giunti in età scolare) nel sistema della formazione professionale primaria. Di fatto, le indagini sociologiche compiute negli ultimi anni sui giovani immigrati di seconda generazione hanno interessato per lo più e in modo crescente il tema dell’inserimento degli alunni stranieri nel sistema scolastico, di pari passo con l’incremento della loro presenza nelle nostre scuole di vario ordine e grado. Per contro, ancora molto esigua resta l’attenzione del mondo della ricerca sul segmento della formazione professionale, a fronte di dati che evidenziano come quest’ultima sia sempre più spesso oggetto di scelta, più o meno obbligata, da parte delle seconde generazioni. La presente ricerca ha quindi per obiettivo l’analisi del fenomeno della presenza di </w:t>
      </w:r>
      <w:r w:rsidRPr="00511922">
        <w:rPr>
          <w:rFonts w:asciiTheme="minorHAnsi" w:eastAsia="Arial Narrow" w:hAnsiTheme="minorHAnsi" w:cstheme="minorHAnsi"/>
          <w:sz w:val="24"/>
          <w:szCs w:val="24"/>
          <w:lang w:val="it-IT"/>
        </w:rPr>
        <w:lastRenderedPageBreak/>
        <w:t>giovani stranieri di seconda generazione nei percorsi di formazione iniziale, con riferimento alle seguenti tematiche: tipologia di offerta formativa; caratteristiche della partecipazione dei giovani; presenza di servizi di accompagnamento; domanda espressa dai giovani stessi; aspettative e prospettive future; promozione della transizione alla vita attiva e all’esercizio pieno della cittadinanza.</w:t>
      </w:r>
    </w:p>
    <w:p w14:paraId="45278B3C" w14:textId="6DC1B158" w:rsidR="00001DAC" w:rsidRPr="00511922" w:rsidRDefault="007F4C1C" w:rsidP="007F4C1C">
      <w:pPr>
        <w:spacing w:line="239" w:lineRule="auto"/>
        <w:ind w:right="-3"/>
        <w:rPr>
          <w:rFonts w:asciiTheme="minorHAnsi" w:eastAsia="Arial Narrow" w:hAnsiTheme="minorHAnsi" w:cstheme="minorHAnsi"/>
          <w:sz w:val="24"/>
          <w:szCs w:val="24"/>
          <w:lang w:val="it-IT"/>
        </w:rPr>
      </w:pPr>
      <w:r>
        <w:rPr>
          <w:rFonts w:asciiTheme="minorHAnsi" w:eastAsia="Arial Narrow" w:hAnsiTheme="minorHAnsi" w:cstheme="minorHAnsi"/>
          <w:noProof/>
          <w:sz w:val="24"/>
          <w:szCs w:val="24"/>
          <w:lang w:val="it-IT" w:eastAsia="it-IT"/>
        </w:rPr>
        <w:drawing>
          <wp:inline distT="0" distB="0" distL="0" distR="0" wp14:anchorId="55BAD2FB" wp14:editId="462DFFF8">
            <wp:extent cx="774065" cy="109855"/>
            <wp:effectExtent l="0" t="0" r="6985" b="4445"/>
            <wp:docPr id="79" name="Immagin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1B8DD0ED" w14:textId="023A7266" w:rsidR="00C77CA4" w:rsidRPr="00511922" w:rsidRDefault="00C77CA4" w:rsidP="00511922">
      <w:pPr>
        <w:spacing w:line="0" w:lineRule="atLeast"/>
        <w:rPr>
          <w:rFonts w:asciiTheme="minorHAnsi" w:eastAsia="Arial Narrow" w:hAnsiTheme="minorHAnsi" w:cstheme="minorHAnsi"/>
          <w:sz w:val="24"/>
          <w:szCs w:val="24"/>
          <w:lang w:val="it-IT"/>
        </w:rPr>
      </w:pPr>
      <w:r w:rsidRPr="00511922">
        <w:rPr>
          <w:rFonts w:asciiTheme="minorHAnsi" w:eastAsia="Arial Narrow" w:hAnsiTheme="minorHAnsi" w:cstheme="minorHAnsi"/>
          <w:b/>
          <w:sz w:val="24"/>
          <w:szCs w:val="24"/>
          <w:lang w:val="it-IT"/>
        </w:rPr>
        <w:t>Guida per un uso efficace dei fondi strutturali per l'inclusione dei Rom : programmazione 2014-2020</w:t>
      </w:r>
      <w:r w:rsidRPr="00511922">
        <w:rPr>
          <w:rFonts w:asciiTheme="minorHAnsi" w:eastAsia="Arial Narrow" w:hAnsiTheme="minorHAnsi" w:cstheme="minorHAnsi"/>
          <w:sz w:val="24"/>
          <w:szCs w:val="24"/>
          <w:lang w:val="it-IT"/>
        </w:rPr>
        <w:t>,</w:t>
      </w:r>
      <w:r w:rsidRPr="00511922">
        <w:rPr>
          <w:rFonts w:asciiTheme="minorHAnsi" w:eastAsia="Arial Narrow" w:hAnsiTheme="minorHAnsi" w:cstheme="minorHAnsi"/>
          <w:b/>
          <w:sz w:val="24"/>
          <w:szCs w:val="24"/>
          <w:lang w:val="it-IT"/>
        </w:rPr>
        <w:t xml:space="preserve"> </w:t>
      </w:r>
      <w:r w:rsidRPr="00511922">
        <w:rPr>
          <w:rFonts w:asciiTheme="minorHAnsi" w:eastAsia="Arial Narrow" w:hAnsiTheme="minorHAnsi" w:cstheme="minorHAnsi"/>
          <w:sz w:val="24"/>
          <w:szCs w:val="24"/>
          <w:lang w:val="it-IT"/>
        </w:rPr>
        <w:t>Fundacion Secretariado Gitano, ISFOL, UNAR, [S.l. : s.n.], 2013</w:t>
      </w:r>
    </w:p>
    <w:p w14:paraId="2A94DF2D" w14:textId="77777777" w:rsidR="00C77CA4" w:rsidRPr="00511922" w:rsidRDefault="00C77CA4" w:rsidP="00511922">
      <w:pPr>
        <w:spacing w:line="235" w:lineRule="auto"/>
        <w:ind w:right="60"/>
        <w:rPr>
          <w:rFonts w:asciiTheme="minorHAnsi" w:eastAsia="Arial Narrow" w:hAnsiTheme="minorHAnsi" w:cstheme="minorHAnsi"/>
          <w:sz w:val="24"/>
          <w:szCs w:val="24"/>
          <w:lang w:val="it-IT"/>
        </w:rPr>
      </w:pPr>
      <w:r w:rsidRPr="00511922">
        <w:rPr>
          <w:rFonts w:asciiTheme="minorHAnsi" w:eastAsia="Arial Narrow" w:hAnsiTheme="minorHAnsi" w:cstheme="minorHAnsi"/>
          <w:sz w:val="24"/>
          <w:szCs w:val="24"/>
          <w:lang w:val="it-IT"/>
        </w:rPr>
        <w:t>La Guida si propone di sostenere politiche e azioni efficaci per l'inclusione dei Rom nel prossimo periodo di programmazione dei Fondi strutturali e di fornire, nello specifico, agli Stati membri uno strumento utile nel processo di programmazione di azioni a favore dell'inclusione dei Rom, nel rispetto degli obiettivi Strategici europei del 2020, dei programmi di riforma nazionale, del Quadro Ue per la Strategia nazionale di integrazione dei Rom degli Stati membri.</w:t>
      </w:r>
    </w:p>
    <w:p w14:paraId="515EF781" w14:textId="64502625" w:rsidR="00C77CA4" w:rsidRPr="00511922" w:rsidRDefault="007F4C1C" w:rsidP="007F4C1C">
      <w:pPr>
        <w:spacing w:line="239" w:lineRule="auto"/>
        <w:ind w:right="-3"/>
        <w:rPr>
          <w:rFonts w:asciiTheme="minorHAnsi" w:eastAsia="Arial Narrow" w:hAnsiTheme="minorHAnsi" w:cstheme="minorHAnsi"/>
          <w:sz w:val="24"/>
          <w:szCs w:val="24"/>
          <w:lang w:val="it-IT"/>
        </w:rPr>
      </w:pPr>
      <w:r>
        <w:rPr>
          <w:rFonts w:asciiTheme="minorHAnsi" w:eastAsia="Arial Narrow" w:hAnsiTheme="minorHAnsi" w:cstheme="minorHAnsi"/>
          <w:noProof/>
          <w:sz w:val="24"/>
          <w:szCs w:val="24"/>
          <w:lang w:val="it-IT" w:eastAsia="it-IT"/>
        </w:rPr>
        <w:drawing>
          <wp:inline distT="0" distB="0" distL="0" distR="0" wp14:anchorId="5ACFA252" wp14:editId="72D158FF">
            <wp:extent cx="774065" cy="109855"/>
            <wp:effectExtent l="0" t="0" r="6985" b="4445"/>
            <wp:docPr id="80" name="Immagin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61678B5F" w14:textId="77777777" w:rsidR="00001DAC" w:rsidRPr="00511922" w:rsidRDefault="00001DAC" w:rsidP="00511922">
      <w:pPr>
        <w:rPr>
          <w:rFonts w:asciiTheme="minorHAnsi" w:hAnsiTheme="minorHAnsi" w:cstheme="minorHAnsi"/>
          <w:bCs/>
          <w:iCs/>
          <w:sz w:val="24"/>
          <w:szCs w:val="24"/>
          <w:lang w:val="it-IT"/>
        </w:rPr>
      </w:pPr>
      <w:r w:rsidRPr="00511922">
        <w:rPr>
          <w:rFonts w:asciiTheme="minorHAnsi" w:hAnsiTheme="minorHAnsi" w:cstheme="minorHAnsi"/>
          <w:b/>
          <w:bCs/>
          <w:iCs/>
          <w:sz w:val="24"/>
          <w:szCs w:val="24"/>
          <w:lang w:val="it-IT"/>
        </w:rPr>
        <w:t>Inserimento lavorativo di persone con disturbo psichico in Friuli Venezia Giulia</w:t>
      </w:r>
      <w:r w:rsidRPr="00511922">
        <w:rPr>
          <w:rFonts w:asciiTheme="minorHAnsi" w:hAnsiTheme="minorHAnsi" w:cstheme="minorHAnsi"/>
          <w:bCs/>
          <w:iCs/>
          <w:sz w:val="24"/>
          <w:szCs w:val="24"/>
          <w:lang w:val="it-IT"/>
        </w:rPr>
        <w:t>, Bartoli Giovanni, "Osservatorio Isfol", 2015, n. 4, pp. 57-62</w:t>
      </w:r>
    </w:p>
    <w:p w14:paraId="5C5A9619" w14:textId="77777777" w:rsidR="00001DAC" w:rsidRPr="00511922" w:rsidRDefault="00001DAC" w:rsidP="00511922">
      <w:pPr>
        <w:rPr>
          <w:rFonts w:asciiTheme="minorHAnsi" w:hAnsiTheme="minorHAnsi" w:cstheme="minorHAnsi"/>
          <w:bCs/>
          <w:iCs/>
          <w:sz w:val="24"/>
          <w:szCs w:val="24"/>
          <w:lang w:val="it-IT"/>
        </w:rPr>
      </w:pPr>
      <w:r w:rsidRPr="00511922">
        <w:rPr>
          <w:rFonts w:asciiTheme="minorHAnsi" w:hAnsiTheme="minorHAnsi" w:cstheme="minorHAnsi"/>
          <w:bCs/>
          <w:iCs/>
          <w:sz w:val="24"/>
          <w:szCs w:val="24"/>
          <w:lang w:val="it-IT"/>
        </w:rPr>
        <w:t>La Regione Friuli Venezia Giulia ha aderito al progetto Pro.P. con Delibera regionale n. 588 del 28 marzo 2014. Il progetto partenariale ISFOL/Regione FVG si articola in due Tavoli di progettazione partecipata, "Buone prassi" e "Percorsi di inserimento", l’uno incentrato sulla ricostruzione del contesto culturale delle politiche della salute regionale; l’altro sulle reali opportunità offerte dal mercato del lavoro.</w:t>
      </w:r>
    </w:p>
    <w:p w14:paraId="2AA676C0" w14:textId="0799E4CA" w:rsidR="009A389B" w:rsidRPr="00511922" w:rsidRDefault="007F4C1C" w:rsidP="007F4C1C">
      <w:pPr>
        <w:spacing w:line="239" w:lineRule="auto"/>
        <w:ind w:right="-3"/>
        <w:rPr>
          <w:rFonts w:asciiTheme="minorHAnsi" w:eastAsia="Arial Narrow" w:hAnsiTheme="minorHAnsi" w:cstheme="minorHAnsi"/>
          <w:sz w:val="24"/>
          <w:szCs w:val="24"/>
          <w:lang w:val="it-IT"/>
        </w:rPr>
      </w:pPr>
      <w:r>
        <w:rPr>
          <w:rFonts w:asciiTheme="minorHAnsi" w:eastAsia="Arial Narrow" w:hAnsiTheme="minorHAnsi" w:cstheme="minorHAnsi"/>
          <w:noProof/>
          <w:sz w:val="24"/>
          <w:szCs w:val="24"/>
          <w:lang w:val="it-IT" w:eastAsia="it-IT"/>
        </w:rPr>
        <w:drawing>
          <wp:inline distT="0" distB="0" distL="0" distR="0" wp14:anchorId="78E1F33C" wp14:editId="21FD25A5">
            <wp:extent cx="774065" cy="109855"/>
            <wp:effectExtent l="0" t="0" r="6985" b="4445"/>
            <wp:docPr id="81" name="Immagin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0DE452A0" w14:textId="77777777" w:rsidR="009A389B" w:rsidRPr="00511922" w:rsidRDefault="009A389B" w:rsidP="00511922">
      <w:pPr>
        <w:rPr>
          <w:rFonts w:asciiTheme="minorHAnsi" w:hAnsiTheme="minorHAnsi" w:cstheme="minorHAnsi"/>
          <w:b/>
          <w:bCs/>
          <w:iCs/>
          <w:sz w:val="24"/>
          <w:szCs w:val="24"/>
          <w:lang w:val="it-IT"/>
        </w:rPr>
      </w:pPr>
      <w:r w:rsidRPr="00511922">
        <w:rPr>
          <w:rFonts w:asciiTheme="minorHAnsi" w:hAnsiTheme="minorHAnsi" w:cstheme="minorHAnsi"/>
          <w:b/>
          <w:bCs/>
          <w:iCs/>
          <w:sz w:val="24"/>
          <w:szCs w:val="24"/>
          <w:lang w:val="it-IT"/>
        </w:rPr>
        <w:t>L'inserimento socio-lavorativo dei soggetti con disagio psichico: costruzione di una rete di servizi</w:t>
      </w:r>
      <w:r w:rsidRPr="00511922">
        <w:rPr>
          <w:rFonts w:asciiTheme="minorHAnsi" w:hAnsiTheme="minorHAnsi" w:cstheme="minorHAnsi"/>
          <w:bCs/>
          <w:iCs/>
          <w:sz w:val="24"/>
          <w:szCs w:val="24"/>
          <w:lang w:val="it-IT"/>
        </w:rPr>
        <w:t>,</w:t>
      </w:r>
      <w:r w:rsidRPr="00511922">
        <w:rPr>
          <w:rFonts w:asciiTheme="minorHAnsi" w:hAnsiTheme="minorHAnsi" w:cstheme="minorHAnsi"/>
          <w:b/>
          <w:bCs/>
          <w:iCs/>
          <w:sz w:val="24"/>
          <w:szCs w:val="24"/>
          <w:lang w:val="it-IT"/>
        </w:rPr>
        <w:t xml:space="preserve">  </w:t>
      </w:r>
      <w:r w:rsidRPr="00511922">
        <w:rPr>
          <w:rFonts w:asciiTheme="minorHAnsi" w:hAnsiTheme="minorHAnsi" w:cstheme="minorHAnsi"/>
          <w:bCs/>
          <w:iCs/>
          <w:sz w:val="24"/>
          <w:szCs w:val="24"/>
          <w:lang w:val="it-IT"/>
        </w:rPr>
        <w:t>Bartoli Giovanni, Franciosa Giuliana, Maiorano Antonietta, “Osservatorio Isfol”, 2013, n. 1-2, p. 173-185</w:t>
      </w:r>
    </w:p>
    <w:p w14:paraId="0B426E03" w14:textId="77777777" w:rsidR="009A389B" w:rsidRPr="00511922" w:rsidRDefault="009A389B" w:rsidP="00511922">
      <w:pPr>
        <w:rPr>
          <w:rFonts w:asciiTheme="minorHAnsi" w:hAnsiTheme="minorHAnsi" w:cstheme="minorHAnsi"/>
          <w:bCs/>
          <w:iCs/>
          <w:sz w:val="24"/>
          <w:szCs w:val="24"/>
          <w:lang w:val="it-IT"/>
        </w:rPr>
      </w:pPr>
      <w:r w:rsidRPr="00511922">
        <w:rPr>
          <w:rFonts w:asciiTheme="minorHAnsi" w:hAnsiTheme="minorHAnsi" w:cstheme="minorHAnsi"/>
          <w:bCs/>
          <w:iCs/>
          <w:sz w:val="24"/>
          <w:szCs w:val="24"/>
          <w:lang w:val="it-IT"/>
        </w:rPr>
        <w:t>Il contributo presenta i risultati dell’indagine “Rete territoriale per l’inserimento lavorativo degli svantaggiati” realizzata in Campania all’interno del progetto Isfol “Programma per il sostegno e lo sviluppo dei percorsi integrati di inserimento socio lavorativo dei soggetti con disturbo psichico” (Pro.P).</w:t>
      </w:r>
    </w:p>
    <w:p w14:paraId="6CBB5515" w14:textId="0CD766B5" w:rsidR="00455C88" w:rsidRPr="00511922" w:rsidRDefault="007F4C1C" w:rsidP="00511922">
      <w:pPr>
        <w:spacing w:line="200" w:lineRule="exact"/>
        <w:rPr>
          <w:rFonts w:asciiTheme="minorHAnsi" w:eastAsia="Times New Roman" w:hAnsiTheme="minorHAnsi" w:cstheme="minorHAnsi"/>
          <w:sz w:val="24"/>
          <w:szCs w:val="24"/>
          <w:lang w:val="it-IT"/>
        </w:rPr>
      </w:pPr>
      <w:bookmarkStart w:id="13" w:name="page5"/>
      <w:bookmarkEnd w:id="13"/>
      <w:r>
        <w:rPr>
          <w:rFonts w:asciiTheme="minorHAnsi" w:eastAsia="Times New Roman" w:hAnsiTheme="minorHAnsi" w:cstheme="minorHAnsi"/>
          <w:noProof/>
          <w:sz w:val="24"/>
          <w:szCs w:val="24"/>
          <w:lang w:val="it-IT" w:eastAsia="it-IT"/>
        </w:rPr>
        <w:drawing>
          <wp:inline distT="0" distB="0" distL="0" distR="0" wp14:anchorId="5D6FAB88" wp14:editId="56B22F8F">
            <wp:extent cx="774065" cy="109855"/>
            <wp:effectExtent l="0" t="0" r="6985" b="4445"/>
            <wp:docPr id="82" name="Immagin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69BBF7FE" w14:textId="77777777" w:rsidR="00455C88" w:rsidRPr="00511922" w:rsidRDefault="00455C88" w:rsidP="00511922">
      <w:pPr>
        <w:spacing w:line="253" w:lineRule="auto"/>
        <w:ind w:right="-3"/>
        <w:rPr>
          <w:rFonts w:asciiTheme="minorHAnsi" w:eastAsia="Arial Narrow" w:hAnsiTheme="minorHAnsi" w:cstheme="minorHAnsi"/>
          <w:sz w:val="24"/>
          <w:szCs w:val="24"/>
          <w:lang w:val="it-IT"/>
        </w:rPr>
      </w:pPr>
      <w:r w:rsidRPr="00511922">
        <w:rPr>
          <w:rFonts w:asciiTheme="minorHAnsi" w:eastAsia="Arial Narrow" w:hAnsiTheme="minorHAnsi" w:cstheme="minorHAnsi"/>
          <w:b/>
          <w:sz w:val="24"/>
          <w:szCs w:val="24"/>
          <w:lang w:val="it-IT"/>
        </w:rPr>
        <w:t>L’integrazione sociale del detenuto attraverso il lavoro e le reti territoriali dei servizi</w:t>
      </w:r>
      <w:r w:rsidRPr="00511922">
        <w:rPr>
          <w:rFonts w:asciiTheme="minorHAnsi" w:eastAsia="Arial Narrow" w:hAnsiTheme="minorHAnsi" w:cstheme="minorHAnsi"/>
          <w:sz w:val="24"/>
          <w:szCs w:val="24"/>
          <w:lang w:val="it-IT"/>
        </w:rPr>
        <w:t>, ISFOL ; Simona Carolla, Antonietta Maiorano, Francesco Maiorano, Roma : ISFOL, c2015 (Isfol Occasional paper ; 18)</w:t>
      </w:r>
    </w:p>
    <w:p w14:paraId="6B25C4BB" w14:textId="341C917B" w:rsidR="00455C88" w:rsidRPr="00511922" w:rsidRDefault="00455C88" w:rsidP="00511922">
      <w:pPr>
        <w:spacing w:line="1" w:lineRule="exact"/>
        <w:rPr>
          <w:rFonts w:asciiTheme="minorHAnsi" w:eastAsia="Times New Roman" w:hAnsiTheme="minorHAnsi" w:cstheme="minorHAnsi"/>
          <w:sz w:val="24"/>
          <w:szCs w:val="24"/>
          <w:lang w:val="it-IT"/>
        </w:rPr>
      </w:pPr>
    </w:p>
    <w:p w14:paraId="22F924A2" w14:textId="77777777" w:rsidR="00455C88" w:rsidRPr="00511922" w:rsidRDefault="00455C88" w:rsidP="00511922">
      <w:pPr>
        <w:spacing w:line="239" w:lineRule="auto"/>
        <w:ind w:right="40"/>
        <w:rPr>
          <w:rFonts w:asciiTheme="minorHAnsi" w:eastAsia="Arial Narrow" w:hAnsiTheme="minorHAnsi" w:cstheme="minorHAnsi"/>
          <w:sz w:val="24"/>
          <w:szCs w:val="24"/>
          <w:lang w:val="it-IT"/>
        </w:rPr>
      </w:pPr>
      <w:r w:rsidRPr="00511922">
        <w:rPr>
          <w:rFonts w:asciiTheme="minorHAnsi" w:eastAsia="Arial Narrow" w:hAnsiTheme="minorHAnsi" w:cstheme="minorHAnsi"/>
          <w:sz w:val="24"/>
          <w:szCs w:val="24"/>
          <w:lang w:val="it-IT"/>
        </w:rPr>
        <w:t xml:space="preserve">Il contributo presenta i primi risultati dell’attività di ricerca “Integrazione socio-lavorativa degli adulti in stato di detenzione” realizzata in Molise ed in Campania all’interno del progetto ISFOL “Programma per il sostegno e lo sviluppo dei percorsi integrati di inserimento socio lavorativo dei soggetti con disturbo psichico” (Pro.P) ed in collaborazione con il Ministero della giustizia. La ricerca ha l’obiettivo di migliorare l’inserimento socio lavorativo dei detenuti prossimi alla scarcerazione, in un momento di grave sovraffollamento degli istituti penitenziari, attraverso la sperimentazione di percorsi di orientamento al lavoro innovativi e lo sviluppo di reti territoriali dei servizi dedicati. I risultati fin qui raccolti dimostrano che il lavoro e la creazione di network risultano essere gli elementi cruciali in un progetto di intervento volto a creare le condizioni più favorevoli all'integrazione sociale del detenuto. </w:t>
      </w:r>
    </w:p>
    <w:p w14:paraId="1A4B077B" w14:textId="77777777" w:rsidR="009A389B" w:rsidRPr="00511922" w:rsidRDefault="009A389B" w:rsidP="00511922">
      <w:pPr>
        <w:spacing w:line="200" w:lineRule="exact"/>
        <w:rPr>
          <w:rFonts w:asciiTheme="minorHAnsi" w:eastAsia="Times New Roman" w:hAnsiTheme="minorHAnsi" w:cstheme="minorHAnsi"/>
          <w:sz w:val="24"/>
          <w:szCs w:val="24"/>
          <w:lang w:val="it-IT"/>
        </w:rPr>
      </w:pPr>
    </w:p>
    <w:p w14:paraId="4B6ABAF2" w14:textId="77777777" w:rsidR="009A389B" w:rsidRPr="00511922" w:rsidRDefault="009A389B" w:rsidP="00511922">
      <w:pPr>
        <w:spacing w:line="200" w:lineRule="exact"/>
        <w:rPr>
          <w:rFonts w:asciiTheme="minorHAnsi" w:eastAsia="Times New Roman" w:hAnsiTheme="minorHAnsi" w:cstheme="minorHAnsi"/>
          <w:sz w:val="24"/>
          <w:szCs w:val="24"/>
          <w:lang w:val="it-IT"/>
        </w:rPr>
      </w:pPr>
    </w:p>
    <w:p w14:paraId="5892B7C5" w14:textId="77777777" w:rsidR="009A389B" w:rsidRPr="00511922" w:rsidRDefault="009A389B" w:rsidP="00511922">
      <w:pPr>
        <w:rPr>
          <w:rFonts w:asciiTheme="minorHAnsi" w:hAnsiTheme="minorHAnsi" w:cstheme="minorHAnsi"/>
          <w:b/>
          <w:bCs/>
          <w:iCs/>
          <w:sz w:val="24"/>
          <w:szCs w:val="24"/>
          <w:lang w:val="it-IT"/>
        </w:rPr>
      </w:pPr>
      <w:r w:rsidRPr="00511922">
        <w:rPr>
          <w:rFonts w:asciiTheme="minorHAnsi" w:hAnsiTheme="minorHAnsi" w:cstheme="minorHAnsi"/>
          <w:b/>
          <w:bCs/>
          <w:iCs/>
          <w:sz w:val="24"/>
          <w:szCs w:val="24"/>
          <w:lang w:val="it-IT"/>
        </w:rPr>
        <w:lastRenderedPageBreak/>
        <w:t>Interventi rivolti ad adolescenti e giovani con fragilità psichica</w:t>
      </w:r>
      <w:r w:rsidRPr="00511922">
        <w:rPr>
          <w:rFonts w:asciiTheme="minorHAnsi" w:hAnsiTheme="minorHAnsi" w:cstheme="minorHAnsi"/>
          <w:bCs/>
          <w:iCs/>
          <w:sz w:val="24"/>
          <w:szCs w:val="24"/>
          <w:lang w:val="it-IT"/>
        </w:rPr>
        <w:t>,</w:t>
      </w:r>
      <w:r w:rsidRPr="00511922">
        <w:rPr>
          <w:rFonts w:asciiTheme="minorHAnsi" w:hAnsiTheme="minorHAnsi" w:cstheme="minorHAnsi"/>
          <w:b/>
          <w:bCs/>
          <w:i/>
          <w:iCs/>
          <w:sz w:val="24"/>
          <w:szCs w:val="24"/>
          <w:lang w:val="it-IT"/>
        </w:rPr>
        <w:t xml:space="preserve"> </w:t>
      </w:r>
      <w:r w:rsidRPr="00511922">
        <w:rPr>
          <w:rFonts w:asciiTheme="minorHAnsi" w:hAnsiTheme="minorHAnsi" w:cstheme="minorHAnsi"/>
          <w:bCs/>
          <w:iCs/>
          <w:sz w:val="24"/>
          <w:szCs w:val="24"/>
          <w:lang w:val="it-IT"/>
        </w:rPr>
        <w:t>Bartoli Giovanni, Pedullà Rita</w:t>
      </w:r>
      <w:r w:rsidRPr="00511922">
        <w:rPr>
          <w:rFonts w:asciiTheme="minorHAnsi" w:hAnsiTheme="minorHAnsi" w:cstheme="minorHAnsi"/>
          <w:b/>
          <w:bCs/>
          <w:iCs/>
          <w:sz w:val="24"/>
          <w:szCs w:val="24"/>
          <w:lang w:val="it-IT"/>
        </w:rPr>
        <w:t>,</w:t>
      </w:r>
      <w:r w:rsidRPr="00511922">
        <w:rPr>
          <w:rFonts w:asciiTheme="minorHAnsi" w:hAnsiTheme="minorHAnsi" w:cstheme="minorHAnsi"/>
          <w:bCs/>
          <w:iCs/>
          <w:sz w:val="24"/>
          <w:szCs w:val="24"/>
          <w:lang w:val="it-IT"/>
        </w:rPr>
        <w:t xml:space="preserve"> “Osservatorio Isfol”, 2014, n. 3/4, pp. 131-137</w:t>
      </w:r>
    </w:p>
    <w:p w14:paraId="0FA0E2F3" w14:textId="77777777" w:rsidR="009A389B" w:rsidRPr="00511922" w:rsidRDefault="009A389B" w:rsidP="00511922">
      <w:pPr>
        <w:rPr>
          <w:rFonts w:asciiTheme="minorHAnsi" w:hAnsiTheme="minorHAnsi" w:cstheme="minorHAnsi"/>
          <w:bCs/>
          <w:iCs/>
          <w:sz w:val="24"/>
          <w:szCs w:val="24"/>
          <w:lang w:val="it-IT"/>
        </w:rPr>
      </w:pPr>
      <w:r w:rsidRPr="00511922">
        <w:rPr>
          <w:rFonts w:asciiTheme="minorHAnsi" w:hAnsiTheme="minorHAnsi" w:cstheme="minorHAnsi"/>
          <w:bCs/>
          <w:iCs/>
          <w:sz w:val="24"/>
          <w:szCs w:val="24"/>
          <w:lang w:val="it-IT"/>
        </w:rPr>
        <w:t>L’articolo descrive i risultati ottenuti nell’ambito del progetto Inserimento lavorativo delle persone con disagio psichico, incentrato sulle misure che favoriscono il recupero e l’ingresso nel mondo del lavoro di minori e giovani con disagio psichico, in particolare di età compresa tra i 14 e i 21 anni.</w:t>
      </w:r>
    </w:p>
    <w:p w14:paraId="4AFF2781" w14:textId="7B9C4BF6" w:rsidR="00455C88" w:rsidRPr="00511922" w:rsidRDefault="007F4C1C" w:rsidP="00511922">
      <w:pPr>
        <w:spacing w:line="200" w:lineRule="exact"/>
        <w:rPr>
          <w:rFonts w:asciiTheme="minorHAnsi" w:eastAsia="Times New Roman" w:hAnsiTheme="minorHAnsi" w:cstheme="minorHAnsi"/>
          <w:sz w:val="24"/>
          <w:szCs w:val="24"/>
          <w:lang w:val="it-IT"/>
        </w:rPr>
      </w:pPr>
      <w:r>
        <w:rPr>
          <w:rFonts w:asciiTheme="minorHAnsi" w:eastAsia="Times New Roman" w:hAnsiTheme="minorHAnsi" w:cstheme="minorHAnsi"/>
          <w:noProof/>
          <w:sz w:val="24"/>
          <w:szCs w:val="24"/>
          <w:lang w:val="it-IT" w:eastAsia="it-IT"/>
        </w:rPr>
        <w:drawing>
          <wp:inline distT="0" distB="0" distL="0" distR="0" wp14:anchorId="2E08E232" wp14:editId="5B08CC8E">
            <wp:extent cx="774065" cy="109855"/>
            <wp:effectExtent l="0" t="0" r="6985" b="4445"/>
            <wp:docPr id="83" name="Immagin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5A49AAE8" w14:textId="15CA6409" w:rsidR="00DA20DA" w:rsidRPr="00511922" w:rsidRDefault="00C77CA4" w:rsidP="00511922">
      <w:pPr>
        <w:rPr>
          <w:rFonts w:asciiTheme="minorHAnsi" w:hAnsiTheme="minorHAnsi" w:cstheme="minorHAnsi"/>
          <w:b/>
          <w:bCs/>
          <w:iCs/>
          <w:sz w:val="24"/>
          <w:szCs w:val="24"/>
          <w:lang w:val="it-IT"/>
        </w:rPr>
      </w:pPr>
      <w:r w:rsidRPr="00511922">
        <w:rPr>
          <w:rFonts w:asciiTheme="minorHAnsi" w:hAnsiTheme="minorHAnsi" w:cstheme="minorHAnsi"/>
          <w:b/>
          <w:bCs/>
          <w:iCs/>
          <w:sz w:val="24"/>
          <w:szCs w:val="24"/>
          <w:lang w:val="it-IT"/>
        </w:rPr>
        <w:t xml:space="preserve">I livelli essenziali delle prestazioni e l’accesso al lavoro </w:t>
      </w:r>
      <w:r w:rsidR="00DA20DA" w:rsidRPr="00511922">
        <w:rPr>
          <w:rFonts w:asciiTheme="minorHAnsi" w:hAnsiTheme="minorHAnsi" w:cstheme="minorHAnsi"/>
          <w:b/>
          <w:bCs/>
          <w:iCs/>
          <w:sz w:val="24"/>
          <w:szCs w:val="24"/>
          <w:lang w:val="it-IT"/>
        </w:rPr>
        <w:t xml:space="preserve">delle persone svantaggiate, </w:t>
      </w:r>
      <w:r w:rsidR="00DA20DA" w:rsidRPr="00511922">
        <w:rPr>
          <w:rFonts w:asciiTheme="minorHAnsi" w:hAnsiTheme="minorHAnsi" w:cstheme="minorHAnsi"/>
          <w:bCs/>
          <w:iCs/>
          <w:sz w:val="24"/>
          <w:szCs w:val="24"/>
          <w:lang w:val="it-IT"/>
        </w:rPr>
        <w:t xml:space="preserve">Occhiocupo Giuditta, "Osservatorio Isfol", 2015, n. 4, pp. 97-110 </w:t>
      </w:r>
    </w:p>
    <w:p w14:paraId="572E70D4" w14:textId="77777777" w:rsidR="00DA20DA" w:rsidRPr="00511922" w:rsidRDefault="00DA20DA" w:rsidP="00511922">
      <w:pPr>
        <w:rPr>
          <w:rFonts w:asciiTheme="minorHAnsi" w:hAnsiTheme="minorHAnsi" w:cstheme="minorHAnsi"/>
          <w:bCs/>
          <w:iCs/>
          <w:sz w:val="24"/>
          <w:szCs w:val="24"/>
          <w:lang w:val="it-IT"/>
        </w:rPr>
      </w:pPr>
      <w:r w:rsidRPr="00511922">
        <w:rPr>
          <w:rFonts w:asciiTheme="minorHAnsi" w:hAnsiTheme="minorHAnsi" w:cstheme="minorHAnsi"/>
          <w:bCs/>
          <w:iCs/>
          <w:sz w:val="24"/>
          <w:szCs w:val="24"/>
          <w:lang w:val="it-IT"/>
        </w:rPr>
        <w:t>La definizione dei LEP, ossia dei i livelli essenziali delle prestazioni concernenti i diritti civili e sociali che devono essere garantiti su tutto il territorio nazionale è stata oggetto di interpretazioni e analisi dottrinali e giurisprudenziali e si trova tuttora in una fase evolutiva. In questa sede, si ritiene importante valutarne i possibili ambiti di definizione, al fine di individuare soluzioni comuni per la risoluzione di elementi di criticità e di disuguaglianza connessi all’inserimento lavorativo dei soggetti cosiddetti svantaggiati.</w:t>
      </w:r>
    </w:p>
    <w:p w14:paraId="00ED7943" w14:textId="2E8443F1" w:rsidR="00455C88" w:rsidRPr="00511922" w:rsidRDefault="007F4C1C" w:rsidP="00511922">
      <w:pPr>
        <w:spacing w:line="195" w:lineRule="exact"/>
        <w:rPr>
          <w:rFonts w:asciiTheme="minorHAnsi" w:eastAsia="Times New Roman" w:hAnsiTheme="minorHAnsi" w:cstheme="minorHAnsi"/>
          <w:sz w:val="24"/>
          <w:szCs w:val="24"/>
          <w:lang w:val="it-IT"/>
        </w:rPr>
      </w:pPr>
      <w:r>
        <w:rPr>
          <w:rFonts w:asciiTheme="minorHAnsi" w:eastAsia="Times New Roman" w:hAnsiTheme="minorHAnsi" w:cstheme="minorHAnsi"/>
          <w:noProof/>
          <w:sz w:val="24"/>
          <w:szCs w:val="24"/>
          <w:lang w:val="it-IT" w:eastAsia="it-IT"/>
        </w:rPr>
        <w:drawing>
          <wp:inline distT="0" distB="0" distL="0" distR="0" wp14:anchorId="46FBF79E" wp14:editId="751B2C6D">
            <wp:extent cx="774065" cy="109855"/>
            <wp:effectExtent l="0" t="0" r="6985" b="4445"/>
            <wp:docPr id="84" name="Immagin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3151B956" w14:textId="77777777" w:rsidR="00455C88" w:rsidRPr="00511922" w:rsidRDefault="00455C88" w:rsidP="00511922">
      <w:pPr>
        <w:spacing w:line="249" w:lineRule="auto"/>
        <w:ind w:right="-3"/>
        <w:rPr>
          <w:rFonts w:asciiTheme="minorHAnsi" w:eastAsia="Arial Narrow" w:hAnsiTheme="minorHAnsi" w:cstheme="minorHAnsi"/>
          <w:sz w:val="24"/>
          <w:szCs w:val="24"/>
          <w:lang w:val="it-IT"/>
        </w:rPr>
      </w:pPr>
      <w:r w:rsidRPr="00511922">
        <w:rPr>
          <w:rFonts w:asciiTheme="minorHAnsi" w:eastAsia="Arial Narrow" w:hAnsiTheme="minorHAnsi" w:cstheme="minorHAnsi"/>
          <w:b/>
          <w:sz w:val="24"/>
          <w:szCs w:val="24"/>
          <w:lang w:val="it-IT"/>
        </w:rPr>
        <w:t>Metodi, forme e strumenti di inclusione sociale : il contributo del Programma LLP-Leonardo da Vinci alle politiche di lotta, alla povertà e all'esclusione sociale,</w:t>
      </w:r>
      <w:r w:rsidRPr="00511922">
        <w:rPr>
          <w:rFonts w:asciiTheme="minorHAnsi" w:eastAsia="Arial Narrow" w:hAnsiTheme="minorHAnsi" w:cstheme="minorHAnsi"/>
          <w:sz w:val="24"/>
          <w:szCs w:val="24"/>
          <w:lang w:val="it-IT"/>
        </w:rPr>
        <w:t xml:space="preserve"> ISFOL, Agenzia Nazionale LLP</w:t>
      </w:r>
      <w:r w:rsidRPr="00511922">
        <w:rPr>
          <w:rFonts w:asciiTheme="minorHAnsi" w:eastAsia="Arial Narrow" w:hAnsiTheme="minorHAnsi" w:cstheme="minorHAnsi"/>
          <w:b/>
          <w:sz w:val="24"/>
          <w:szCs w:val="24"/>
          <w:lang w:val="it-IT"/>
        </w:rPr>
        <w:t xml:space="preserve"> </w:t>
      </w:r>
      <w:r w:rsidRPr="00511922">
        <w:rPr>
          <w:rFonts w:asciiTheme="minorHAnsi" w:eastAsia="Arial Narrow" w:hAnsiTheme="minorHAnsi" w:cstheme="minorHAnsi"/>
          <w:sz w:val="24"/>
          <w:szCs w:val="24"/>
          <w:lang w:val="it-IT"/>
        </w:rPr>
        <w:t>Programma settoriale Leonardo da Vinci ; testi di Anna Sveva Balduini ... [et al.], Roma, ISFOL, c2013</w:t>
      </w:r>
    </w:p>
    <w:p w14:paraId="273FE259" w14:textId="45F310CC" w:rsidR="00455C88" w:rsidRPr="00511922" w:rsidRDefault="00455C88" w:rsidP="00511922">
      <w:pPr>
        <w:spacing w:line="4" w:lineRule="exact"/>
        <w:rPr>
          <w:rFonts w:asciiTheme="minorHAnsi" w:eastAsia="Times New Roman" w:hAnsiTheme="minorHAnsi" w:cstheme="minorHAnsi"/>
          <w:sz w:val="24"/>
          <w:szCs w:val="24"/>
          <w:lang w:val="it-IT"/>
        </w:rPr>
      </w:pPr>
    </w:p>
    <w:p w14:paraId="58DB47F6" w14:textId="77777777" w:rsidR="00455C88" w:rsidRPr="00511922" w:rsidRDefault="00455C88" w:rsidP="00511922">
      <w:pPr>
        <w:spacing w:line="239" w:lineRule="auto"/>
        <w:ind w:right="-3"/>
        <w:rPr>
          <w:rFonts w:asciiTheme="minorHAnsi" w:eastAsia="Arial Narrow" w:hAnsiTheme="minorHAnsi" w:cstheme="minorHAnsi"/>
          <w:sz w:val="24"/>
          <w:szCs w:val="24"/>
          <w:lang w:val="it-IT"/>
        </w:rPr>
      </w:pPr>
      <w:r w:rsidRPr="00511922">
        <w:rPr>
          <w:rFonts w:asciiTheme="minorHAnsi" w:eastAsia="Arial Narrow" w:hAnsiTheme="minorHAnsi" w:cstheme="minorHAnsi"/>
          <w:sz w:val="24"/>
          <w:szCs w:val="24"/>
          <w:lang w:val="it-IT"/>
        </w:rPr>
        <w:t>Gli sforzi degli Stati membri per innovare e modernizzare le politiche sociali potrebbero trarre vantaggi significativi dalla conoscenza e dalla capitalizzazione di esperienze che hanno funzionato sul campo, aggregando interessi convergenti di attori pubblici e privati, rispondendo a vecchi e nuovi bisogni, e giungendo a risultati ritenuti soddisfacenti presso quelle utenze cui si rivolge la Piattaforma Europea contro la povertà e l’emarginazione. Questo approfondimento tematico ha evidenziato che si possono mettere a disposizione le migliori conoscenze tecniche in termini di metodi e strumenti di progettazione, attuazione e valutazione di interventi volti a contrastare l’esclusione sociale e la povertà, agendo sulle politiche di istruzione e formazione professionale e sul miglioramento della qualità dei sistemi formativi. Il testo, che analizza i progetti finanziati dal Programma settoriale Leonardo da Vinci, incentrati sulla tematica dell’inclusione sociale, rende visibili iniziative e risultati ottenuti a livello locale da cui occorrerebbe ripartire per portare a compimento il difficile disegno di un quadro d’azione congiunto, incentrato su politiche integrate, all’interno del quale realtà istituzionali e principali attori interessati possano trovare un terreno comune di confronto e collaborazione in vista delle sfide poste dalla Strategia Europa 2020.</w:t>
      </w:r>
    </w:p>
    <w:p w14:paraId="6F647F78" w14:textId="75E48F27" w:rsidR="00455C88" w:rsidRPr="00511922" w:rsidRDefault="007F4C1C" w:rsidP="00511922">
      <w:pPr>
        <w:spacing w:line="200" w:lineRule="exact"/>
        <w:rPr>
          <w:rFonts w:asciiTheme="minorHAnsi" w:eastAsia="Times New Roman" w:hAnsiTheme="minorHAnsi" w:cstheme="minorHAnsi"/>
          <w:sz w:val="24"/>
          <w:szCs w:val="24"/>
          <w:lang w:val="it-IT"/>
        </w:rPr>
      </w:pPr>
      <w:bookmarkStart w:id="14" w:name="page6"/>
      <w:bookmarkEnd w:id="14"/>
      <w:r>
        <w:rPr>
          <w:rFonts w:asciiTheme="minorHAnsi" w:eastAsia="Times New Roman" w:hAnsiTheme="minorHAnsi" w:cstheme="minorHAnsi"/>
          <w:noProof/>
          <w:sz w:val="24"/>
          <w:szCs w:val="24"/>
          <w:lang w:val="it-IT" w:eastAsia="it-IT"/>
        </w:rPr>
        <w:drawing>
          <wp:inline distT="0" distB="0" distL="0" distR="0" wp14:anchorId="642D9A0E" wp14:editId="53B8DC34">
            <wp:extent cx="774065" cy="109855"/>
            <wp:effectExtent l="0" t="0" r="6985" b="4445"/>
            <wp:docPr id="85" name="Immagin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7D7B11AE" w14:textId="77777777" w:rsidR="00455C88" w:rsidRPr="00511922" w:rsidRDefault="00455C88" w:rsidP="00511922">
      <w:pPr>
        <w:spacing w:line="264" w:lineRule="auto"/>
        <w:ind w:right="100"/>
        <w:rPr>
          <w:rFonts w:asciiTheme="minorHAnsi" w:eastAsia="Arial Narrow" w:hAnsiTheme="minorHAnsi" w:cstheme="minorHAnsi"/>
          <w:sz w:val="24"/>
          <w:szCs w:val="24"/>
          <w:lang w:val="it-IT"/>
        </w:rPr>
      </w:pPr>
      <w:r w:rsidRPr="00511922">
        <w:rPr>
          <w:rFonts w:asciiTheme="minorHAnsi" w:eastAsia="Arial Narrow" w:hAnsiTheme="minorHAnsi" w:cstheme="minorHAnsi"/>
          <w:b/>
          <w:sz w:val="24"/>
          <w:szCs w:val="24"/>
          <w:lang w:val="it-IT"/>
        </w:rPr>
        <w:t xml:space="preserve">O.L.T.RE : un percorso di orientamento al lavoro rivolto ai detenuti, </w:t>
      </w:r>
      <w:r w:rsidRPr="00511922">
        <w:rPr>
          <w:rFonts w:asciiTheme="minorHAnsi" w:eastAsia="Arial Narrow" w:hAnsiTheme="minorHAnsi" w:cstheme="minorHAnsi"/>
          <w:sz w:val="24"/>
          <w:szCs w:val="24"/>
          <w:lang w:val="it-IT"/>
        </w:rPr>
        <w:t>ISFOL ; a cura di Antonietta</w:t>
      </w:r>
      <w:r w:rsidRPr="00511922">
        <w:rPr>
          <w:rFonts w:asciiTheme="minorHAnsi" w:eastAsia="Arial Narrow" w:hAnsiTheme="minorHAnsi" w:cstheme="minorHAnsi"/>
          <w:b/>
          <w:sz w:val="24"/>
          <w:szCs w:val="24"/>
          <w:lang w:val="it-IT"/>
        </w:rPr>
        <w:t xml:space="preserve"> </w:t>
      </w:r>
      <w:r w:rsidRPr="00511922">
        <w:rPr>
          <w:rFonts w:asciiTheme="minorHAnsi" w:eastAsia="Arial Narrow" w:hAnsiTheme="minorHAnsi" w:cstheme="minorHAnsi"/>
          <w:sz w:val="24"/>
          <w:szCs w:val="24"/>
          <w:lang w:val="it-IT"/>
        </w:rPr>
        <w:t>Maiorano, Roma, ISFOL, c2015 (I libri del Fondo sociale europeo ; 211)</w:t>
      </w:r>
    </w:p>
    <w:p w14:paraId="75624069" w14:textId="7CF6F0E4" w:rsidR="00455C88" w:rsidRPr="00511922" w:rsidRDefault="00455C88" w:rsidP="00511922">
      <w:pPr>
        <w:spacing w:line="1" w:lineRule="exact"/>
        <w:rPr>
          <w:rFonts w:asciiTheme="minorHAnsi" w:eastAsia="Times New Roman" w:hAnsiTheme="minorHAnsi" w:cstheme="minorHAnsi"/>
          <w:sz w:val="24"/>
          <w:szCs w:val="24"/>
          <w:lang w:val="it-IT"/>
        </w:rPr>
      </w:pPr>
    </w:p>
    <w:p w14:paraId="554DF441" w14:textId="77777777" w:rsidR="00455C88" w:rsidRPr="00511922" w:rsidRDefault="00455C88" w:rsidP="00511922">
      <w:pPr>
        <w:spacing w:line="239" w:lineRule="auto"/>
        <w:ind w:right="-3"/>
        <w:rPr>
          <w:rFonts w:asciiTheme="minorHAnsi" w:eastAsia="Arial Narrow" w:hAnsiTheme="minorHAnsi" w:cstheme="minorHAnsi"/>
          <w:sz w:val="24"/>
          <w:szCs w:val="24"/>
          <w:lang w:val="it-IT"/>
        </w:rPr>
      </w:pPr>
      <w:r w:rsidRPr="00511922">
        <w:rPr>
          <w:rFonts w:asciiTheme="minorHAnsi" w:eastAsia="Arial Narrow" w:hAnsiTheme="minorHAnsi" w:cstheme="minorHAnsi"/>
          <w:sz w:val="24"/>
          <w:szCs w:val="24"/>
          <w:lang w:val="it-IT"/>
        </w:rPr>
        <w:t xml:space="preserve">Il volume presenta i risultati dell’attività di ricerca “Integrazione socio lavorativa degli adulti in stato di detenzione”, realizzata in Molise ed in Campania, all’interno della quale è stato progettato e sperimentato O.L.T.Re, un percorso di orientamento al lavoro rivolto ai detenuti. Nell’attuale situazione di sovraffollamento degli istituti di pena italiani il tema dell’inserimento socio-lavorativo dei detenuti è divenuto particolarmente importante in quanto la ricollocazione nella società e il consequenziale recupero dei soggetti si concretizzano soprattutto per mezzo del lavoro, strumento massimo del processo di inclusione sociale e rieducativo. Il lavoro </w:t>
      </w:r>
      <w:r w:rsidRPr="00511922">
        <w:rPr>
          <w:rFonts w:asciiTheme="minorHAnsi" w:eastAsia="Arial Narrow" w:hAnsiTheme="minorHAnsi" w:cstheme="minorHAnsi"/>
          <w:sz w:val="24"/>
          <w:szCs w:val="24"/>
          <w:lang w:val="it-IT"/>
        </w:rPr>
        <w:lastRenderedPageBreak/>
        <w:t>risulta essere un fondamentale mezzo di socializzazione, oltre che un sostegno economico lecito e legale e rappresenta il punto di partenza attraverso il quale un ex detenuto, una volta inserito in un contesto lavorativo, avrà di certo meno interesse a commettere nuovamente reati. I risultati raccolti dimostrano che azioni di orientamento e formazione così come la creazione di network risultano essere gli elementi cruciali in un progetto di intervento volto a porre le condizioni più favorevoli all'integrazione sociale del detenuto. Il vero recupero sociale del recluso non può non passare attraverso l’acquisizione di competenze spendibili sul mercato del lavoro e azioni di counselling tese a facilitare nei destinatari l'assunzione di un ruolo attivo a conclusione della pena detentiva. Ciò significa che il tempo della detenzione deve essere speso correttamente ed il mondo esterno deve adoperarsi e collaborare.</w:t>
      </w:r>
    </w:p>
    <w:p w14:paraId="2AA0420C" w14:textId="0245B7DE" w:rsidR="00455C88" w:rsidRPr="00511922" w:rsidRDefault="007F4C1C" w:rsidP="00511922">
      <w:pPr>
        <w:spacing w:line="198" w:lineRule="exact"/>
        <w:rPr>
          <w:rFonts w:asciiTheme="minorHAnsi" w:eastAsia="Times New Roman" w:hAnsiTheme="minorHAnsi" w:cstheme="minorHAnsi"/>
          <w:sz w:val="24"/>
          <w:szCs w:val="24"/>
          <w:lang w:val="it-IT"/>
        </w:rPr>
      </w:pPr>
      <w:r>
        <w:rPr>
          <w:rFonts w:asciiTheme="minorHAnsi" w:eastAsia="Times New Roman" w:hAnsiTheme="minorHAnsi" w:cstheme="minorHAnsi"/>
          <w:noProof/>
          <w:sz w:val="24"/>
          <w:szCs w:val="24"/>
          <w:lang w:val="it-IT" w:eastAsia="it-IT"/>
        </w:rPr>
        <w:drawing>
          <wp:inline distT="0" distB="0" distL="0" distR="0" wp14:anchorId="3BE28F12" wp14:editId="51F01440">
            <wp:extent cx="774065" cy="109855"/>
            <wp:effectExtent l="0" t="0" r="6985" b="4445"/>
            <wp:docPr id="86" name="Immagin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6112976E" w14:textId="77777777" w:rsidR="00455C88" w:rsidRPr="00511922" w:rsidRDefault="00455C88" w:rsidP="00511922">
      <w:pPr>
        <w:spacing w:line="253" w:lineRule="auto"/>
        <w:ind w:right="-3"/>
        <w:rPr>
          <w:rFonts w:asciiTheme="minorHAnsi" w:eastAsia="Arial Narrow" w:hAnsiTheme="minorHAnsi" w:cstheme="minorHAnsi"/>
          <w:sz w:val="24"/>
          <w:szCs w:val="24"/>
          <w:lang w:val="it-IT"/>
        </w:rPr>
      </w:pPr>
      <w:r w:rsidRPr="00511922">
        <w:rPr>
          <w:rFonts w:asciiTheme="minorHAnsi" w:eastAsia="Arial Narrow" w:hAnsiTheme="minorHAnsi" w:cstheme="minorHAnsi"/>
          <w:b/>
          <w:sz w:val="24"/>
          <w:szCs w:val="24"/>
          <w:lang w:val="it-IT"/>
        </w:rPr>
        <w:t>Oltre il disagio psichico dei giovani: modelli e pratiche di inclusione socio-lavorativa : riflessioni e contributi del seminario di studio,</w:t>
      </w:r>
      <w:r w:rsidRPr="00511922">
        <w:rPr>
          <w:rFonts w:asciiTheme="minorHAnsi" w:eastAsia="Arial Narrow" w:hAnsiTheme="minorHAnsi" w:cstheme="minorHAnsi"/>
          <w:sz w:val="24"/>
          <w:szCs w:val="24"/>
          <w:lang w:val="it-IT"/>
        </w:rPr>
        <w:t xml:space="preserve"> ISFOL ; a cura di Daniela Pavoncello e Amedeo</w:t>
      </w:r>
      <w:r w:rsidRPr="00511922">
        <w:rPr>
          <w:rFonts w:asciiTheme="minorHAnsi" w:eastAsia="Arial Narrow" w:hAnsiTheme="minorHAnsi" w:cstheme="minorHAnsi"/>
          <w:b/>
          <w:sz w:val="24"/>
          <w:szCs w:val="24"/>
          <w:lang w:val="it-IT"/>
        </w:rPr>
        <w:t xml:space="preserve"> </w:t>
      </w:r>
      <w:r w:rsidRPr="00511922">
        <w:rPr>
          <w:rFonts w:asciiTheme="minorHAnsi" w:eastAsia="Arial Narrow" w:hAnsiTheme="minorHAnsi" w:cstheme="minorHAnsi"/>
          <w:sz w:val="24"/>
          <w:szCs w:val="24"/>
          <w:lang w:val="it-IT"/>
        </w:rPr>
        <w:t>Spagnolo, Roma, ISFOL, c2013 (I libri del Fondo sociale europeo ; 185)</w:t>
      </w:r>
    </w:p>
    <w:p w14:paraId="21484555" w14:textId="5D63991D" w:rsidR="00455C88" w:rsidRPr="00511922" w:rsidRDefault="00455C88" w:rsidP="00511922">
      <w:pPr>
        <w:spacing w:line="1" w:lineRule="exact"/>
        <w:rPr>
          <w:rFonts w:asciiTheme="minorHAnsi" w:eastAsia="Times New Roman" w:hAnsiTheme="minorHAnsi" w:cstheme="minorHAnsi"/>
          <w:sz w:val="24"/>
          <w:szCs w:val="24"/>
          <w:lang w:val="it-IT"/>
        </w:rPr>
      </w:pPr>
    </w:p>
    <w:p w14:paraId="6C9896B5" w14:textId="77777777" w:rsidR="00455C88" w:rsidRPr="00511922" w:rsidRDefault="00455C88" w:rsidP="00511922">
      <w:pPr>
        <w:spacing w:line="239" w:lineRule="auto"/>
        <w:ind w:right="-3"/>
        <w:rPr>
          <w:rFonts w:asciiTheme="minorHAnsi" w:eastAsia="Arial Narrow" w:hAnsiTheme="minorHAnsi" w:cstheme="minorHAnsi"/>
          <w:sz w:val="24"/>
          <w:szCs w:val="24"/>
          <w:lang w:val="it-IT"/>
        </w:rPr>
      </w:pPr>
      <w:r w:rsidRPr="00511922">
        <w:rPr>
          <w:rFonts w:asciiTheme="minorHAnsi" w:eastAsia="Arial Narrow" w:hAnsiTheme="minorHAnsi" w:cstheme="minorHAnsi"/>
          <w:sz w:val="24"/>
          <w:szCs w:val="24"/>
          <w:lang w:val="it-IT"/>
        </w:rPr>
        <w:t>Attraverso la raccolta degli Atti del Seminario di Studio “Oltre il disagio psichico dei giovani: modelli e pratiche di intervento” - tenutosi a Roma presso l'Isfol il 21 giugno 2012 - e grazie a contributi di studiosi ed esperti che si occupano di disagio giovanile, il volume intende avviare una prima riflessione di studio sulle pratiche e sui modelli finalizzati a favorire l’inclusione socio-lavorativa realizzati dalle diverse agenzie educative nei diversi territori e rivolti in particolare ai giovani che presentano disturbi psichici o a rischio di devianza.</w:t>
      </w:r>
    </w:p>
    <w:p w14:paraId="012C5994" w14:textId="4D21B58A" w:rsidR="00DA20DA" w:rsidRPr="00511922" w:rsidRDefault="007F4C1C" w:rsidP="007F4C1C">
      <w:pPr>
        <w:spacing w:line="239" w:lineRule="auto"/>
        <w:ind w:right="-3"/>
        <w:rPr>
          <w:rFonts w:asciiTheme="minorHAnsi" w:eastAsia="Arial Narrow" w:hAnsiTheme="minorHAnsi" w:cstheme="minorHAnsi"/>
          <w:sz w:val="24"/>
          <w:szCs w:val="24"/>
          <w:lang w:val="it-IT"/>
        </w:rPr>
      </w:pPr>
      <w:r>
        <w:rPr>
          <w:rFonts w:asciiTheme="minorHAnsi" w:eastAsia="Arial Narrow" w:hAnsiTheme="minorHAnsi" w:cstheme="minorHAnsi"/>
          <w:noProof/>
          <w:sz w:val="24"/>
          <w:szCs w:val="24"/>
          <w:lang w:val="it-IT" w:eastAsia="it-IT"/>
        </w:rPr>
        <w:drawing>
          <wp:inline distT="0" distB="0" distL="0" distR="0" wp14:anchorId="149804E4" wp14:editId="517D4089">
            <wp:extent cx="774065" cy="109855"/>
            <wp:effectExtent l="0" t="0" r="6985" b="4445"/>
            <wp:docPr id="87" name="Immagin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335B8975" w14:textId="77777777" w:rsidR="00DA20DA" w:rsidRPr="00511922" w:rsidRDefault="00DA20DA" w:rsidP="00511922">
      <w:pPr>
        <w:rPr>
          <w:rFonts w:asciiTheme="minorHAnsi" w:hAnsiTheme="minorHAnsi" w:cstheme="minorHAnsi"/>
          <w:bCs/>
          <w:iCs/>
          <w:sz w:val="24"/>
          <w:szCs w:val="24"/>
          <w:lang w:val="it-IT"/>
        </w:rPr>
      </w:pPr>
      <w:r w:rsidRPr="00511922">
        <w:rPr>
          <w:rFonts w:asciiTheme="minorHAnsi" w:hAnsiTheme="minorHAnsi" w:cstheme="minorHAnsi"/>
          <w:b/>
          <w:bCs/>
          <w:iCs/>
          <w:sz w:val="24"/>
          <w:szCs w:val="24"/>
          <w:lang w:val="it-IT"/>
        </w:rPr>
        <w:t>Processo di riforma del Terzo settore</w:t>
      </w:r>
      <w:r w:rsidRPr="00511922">
        <w:rPr>
          <w:rFonts w:asciiTheme="minorHAnsi" w:hAnsiTheme="minorHAnsi" w:cstheme="minorHAnsi"/>
          <w:bCs/>
          <w:iCs/>
          <w:sz w:val="24"/>
          <w:szCs w:val="24"/>
          <w:lang w:val="it-IT"/>
        </w:rPr>
        <w:t>,</w:t>
      </w:r>
      <w:r w:rsidRPr="00511922">
        <w:rPr>
          <w:rFonts w:asciiTheme="minorHAnsi" w:hAnsiTheme="minorHAnsi" w:cstheme="minorHAnsi"/>
          <w:b/>
          <w:bCs/>
          <w:i/>
          <w:iCs/>
          <w:sz w:val="24"/>
          <w:szCs w:val="24"/>
          <w:lang w:val="it-IT"/>
        </w:rPr>
        <w:t xml:space="preserve"> </w:t>
      </w:r>
      <w:r w:rsidRPr="00511922">
        <w:rPr>
          <w:rFonts w:asciiTheme="minorHAnsi" w:hAnsiTheme="minorHAnsi" w:cstheme="minorHAnsi"/>
          <w:bCs/>
          <w:iCs/>
          <w:sz w:val="24"/>
          <w:szCs w:val="24"/>
          <w:lang w:val="it-IT"/>
        </w:rPr>
        <w:t>Mancini Federica, Menegatti Valentina, Ranieri Crisitana, “Osservatorio Isfol”, 2014, n. 3-4, pp. 81-96</w:t>
      </w:r>
    </w:p>
    <w:p w14:paraId="59B525F5" w14:textId="77777777" w:rsidR="00DA20DA" w:rsidRPr="00511922" w:rsidRDefault="00DA20DA" w:rsidP="00511922">
      <w:pPr>
        <w:rPr>
          <w:rFonts w:asciiTheme="minorHAnsi" w:hAnsiTheme="minorHAnsi" w:cstheme="minorHAnsi"/>
          <w:bCs/>
          <w:iCs/>
          <w:sz w:val="24"/>
          <w:szCs w:val="24"/>
          <w:lang w:val="it-IT"/>
        </w:rPr>
      </w:pPr>
      <w:r w:rsidRPr="00511922">
        <w:rPr>
          <w:rFonts w:asciiTheme="minorHAnsi" w:hAnsiTheme="minorHAnsi" w:cstheme="minorHAnsi"/>
          <w:bCs/>
          <w:iCs/>
          <w:sz w:val="24"/>
          <w:szCs w:val="24"/>
          <w:lang w:val="it-IT"/>
        </w:rPr>
        <w:t>L’articolo riporta una sintesi delle principali tappe dell’iter della riforma del Terzo settore fino ad arrivare all’emanazione del Disegno di legge “Delega al Governo per la riforma del Terzo settore, dell’impresa sociale e per la disciplina del Servizio civile universale” e alla successiva discussione degli emendamenti in seno alla Commissione Affari Sociali.</w:t>
      </w:r>
    </w:p>
    <w:p w14:paraId="1D752D67" w14:textId="7C2825D2" w:rsidR="00DA20DA" w:rsidRPr="00511922" w:rsidRDefault="007F4C1C" w:rsidP="007F4C1C">
      <w:pPr>
        <w:spacing w:line="239" w:lineRule="auto"/>
        <w:ind w:right="-3"/>
        <w:rPr>
          <w:rFonts w:asciiTheme="minorHAnsi" w:eastAsia="Arial Narrow" w:hAnsiTheme="minorHAnsi" w:cstheme="minorHAnsi"/>
          <w:sz w:val="24"/>
          <w:szCs w:val="24"/>
          <w:lang w:val="it-IT"/>
        </w:rPr>
      </w:pPr>
      <w:r>
        <w:rPr>
          <w:rFonts w:asciiTheme="minorHAnsi" w:eastAsia="Arial Narrow" w:hAnsiTheme="minorHAnsi" w:cstheme="minorHAnsi"/>
          <w:noProof/>
          <w:sz w:val="24"/>
          <w:szCs w:val="24"/>
          <w:lang w:val="it-IT" w:eastAsia="it-IT"/>
        </w:rPr>
        <w:drawing>
          <wp:inline distT="0" distB="0" distL="0" distR="0" wp14:anchorId="6E1AA346" wp14:editId="73862436">
            <wp:extent cx="774065" cy="109855"/>
            <wp:effectExtent l="0" t="0" r="6985" b="4445"/>
            <wp:docPr id="88" name="Immagin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3F5B2F3D" w14:textId="77777777" w:rsidR="00455C88" w:rsidRPr="00511922" w:rsidRDefault="00455C88" w:rsidP="00511922">
      <w:pPr>
        <w:spacing w:line="253" w:lineRule="auto"/>
        <w:ind w:right="-3"/>
        <w:rPr>
          <w:rFonts w:asciiTheme="minorHAnsi" w:eastAsia="Arial Narrow" w:hAnsiTheme="minorHAnsi" w:cstheme="minorHAnsi"/>
          <w:sz w:val="24"/>
          <w:szCs w:val="24"/>
          <w:lang w:val="it-IT"/>
        </w:rPr>
      </w:pPr>
      <w:r w:rsidRPr="00511922">
        <w:rPr>
          <w:rFonts w:asciiTheme="minorHAnsi" w:eastAsia="Arial Narrow" w:hAnsiTheme="minorHAnsi" w:cstheme="minorHAnsi"/>
          <w:b/>
          <w:sz w:val="24"/>
          <w:szCs w:val="24"/>
          <w:lang w:val="it-IT"/>
        </w:rPr>
        <w:t>Rapporto nazionale di valutazione intermedia delle attività di informazione e pubblicità dei Programmi operativi FSE 2007-2013,</w:t>
      </w:r>
      <w:r w:rsidRPr="00511922">
        <w:rPr>
          <w:rFonts w:asciiTheme="minorHAnsi" w:eastAsia="Arial Narrow" w:hAnsiTheme="minorHAnsi" w:cstheme="minorHAnsi"/>
          <w:sz w:val="24"/>
          <w:szCs w:val="24"/>
          <w:lang w:val="it-IT"/>
        </w:rPr>
        <w:t xml:space="preserve"> ISFOL ; a cura di Stefano Volpi e Isabella Pitoni, Roma,</w:t>
      </w:r>
      <w:r w:rsidRPr="00511922">
        <w:rPr>
          <w:rFonts w:asciiTheme="minorHAnsi" w:eastAsia="Arial Narrow" w:hAnsiTheme="minorHAnsi" w:cstheme="minorHAnsi"/>
          <w:b/>
          <w:sz w:val="24"/>
          <w:szCs w:val="24"/>
          <w:lang w:val="it-IT"/>
        </w:rPr>
        <w:t xml:space="preserve"> </w:t>
      </w:r>
      <w:r w:rsidRPr="00511922">
        <w:rPr>
          <w:rFonts w:asciiTheme="minorHAnsi" w:eastAsia="Arial Narrow" w:hAnsiTheme="minorHAnsi" w:cstheme="minorHAnsi"/>
          <w:sz w:val="24"/>
          <w:szCs w:val="24"/>
          <w:lang w:val="it-IT"/>
        </w:rPr>
        <w:t>ISFOL, c2013 (I libri del Fondo sociale europeo ; 175)</w:t>
      </w:r>
    </w:p>
    <w:p w14:paraId="2830040A" w14:textId="641BA822" w:rsidR="00455C88" w:rsidRPr="00511922" w:rsidRDefault="00455C88" w:rsidP="00511922">
      <w:pPr>
        <w:spacing w:line="1" w:lineRule="exact"/>
        <w:rPr>
          <w:rFonts w:asciiTheme="minorHAnsi" w:eastAsia="Times New Roman" w:hAnsiTheme="minorHAnsi" w:cstheme="minorHAnsi"/>
          <w:sz w:val="24"/>
          <w:szCs w:val="24"/>
          <w:lang w:val="it-IT"/>
        </w:rPr>
      </w:pPr>
    </w:p>
    <w:p w14:paraId="5517B50B" w14:textId="77777777" w:rsidR="00455C88" w:rsidRPr="00511922" w:rsidRDefault="00455C88" w:rsidP="00511922">
      <w:pPr>
        <w:spacing w:line="239" w:lineRule="auto"/>
        <w:ind w:right="-3"/>
        <w:rPr>
          <w:rFonts w:asciiTheme="minorHAnsi" w:eastAsia="Arial Narrow" w:hAnsiTheme="minorHAnsi" w:cstheme="minorHAnsi"/>
          <w:sz w:val="24"/>
          <w:szCs w:val="24"/>
          <w:lang w:val="it-IT"/>
        </w:rPr>
      </w:pPr>
      <w:r w:rsidRPr="00511922">
        <w:rPr>
          <w:rFonts w:asciiTheme="minorHAnsi" w:eastAsia="Arial Narrow" w:hAnsiTheme="minorHAnsi" w:cstheme="minorHAnsi"/>
          <w:sz w:val="24"/>
          <w:szCs w:val="24"/>
          <w:lang w:val="it-IT"/>
        </w:rPr>
        <w:t>Comunicare i fondi strutturali è cruciale per rafforzare il ruolo dell'Unione europea nel suo complesso e garantire il principio di trasparenza e di accesso alle informazioni su come i fondi sono utilizzati. Per questo la Commissione europea definisce alcuni obblighi in materia di informazione e pubblicità, tra i quali figura la valutazione. Il rapporto presenta il quadro nazionale degli esiti delle valutazioni intermedie realizzate dalle autorità di gestione del Fse, focalizzando l'analisi su: le azioni di informazione e pubblicità programmate ed attuate, i risultati delle valutazioni di tali attività, i relativi processi valutativi. La pubblicazione è il primo risultato tangibile di una riflessione comune sulla comunicazione Fse che potrà essere strumento utile sia alla valutazione di ne programmazione che alla stesura delle strategie di comunicazione per la programmazione 2014-2020.</w:t>
      </w:r>
    </w:p>
    <w:p w14:paraId="098956CB" w14:textId="4C5C55E6" w:rsidR="00455C88" w:rsidRPr="00511922" w:rsidRDefault="00455C88" w:rsidP="00511922">
      <w:pPr>
        <w:spacing w:line="194" w:lineRule="exact"/>
        <w:rPr>
          <w:rFonts w:asciiTheme="minorHAnsi" w:eastAsia="Times New Roman" w:hAnsiTheme="minorHAnsi" w:cstheme="minorHAnsi"/>
          <w:sz w:val="24"/>
          <w:szCs w:val="24"/>
          <w:lang w:val="it-IT"/>
        </w:rPr>
      </w:pPr>
    </w:p>
    <w:p w14:paraId="74D35D85" w14:textId="77777777" w:rsidR="00455C88" w:rsidRPr="00511922" w:rsidRDefault="00455C88" w:rsidP="00511922">
      <w:pPr>
        <w:spacing w:line="253" w:lineRule="auto"/>
        <w:ind w:right="-3"/>
        <w:rPr>
          <w:rFonts w:asciiTheme="minorHAnsi" w:eastAsia="Arial Narrow" w:hAnsiTheme="minorHAnsi" w:cstheme="minorHAnsi"/>
          <w:sz w:val="24"/>
          <w:szCs w:val="24"/>
          <w:lang w:val="it-IT"/>
        </w:rPr>
      </w:pPr>
      <w:r w:rsidRPr="00511922">
        <w:rPr>
          <w:rFonts w:asciiTheme="minorHAnsi" w:eastAsia="Arial Narrow" w:hAnsiTheme="minorHAnsi" w:cstheme="minorHAnsi"/>
          <w:b/>
          <w:sz w:val="24"/>
          <w:szCs w:val="24"/>
          <w:lang w:val="it-IT"/>
        </w:rPr>
        <w:lastRenderedPageBreak/>
        <w:t>Il reinserimento lavorativo dei detenuti : il lavoro carcerario come leva motivazionale e di reintegrazione sociale : il caso di Rebibbia</w:t>
      </w:r>
      <w:r w:rsidRPr="00511922">
        <w:rPr>
          <w:rFonts w:asciiTheme="minorHAnsi" w:eastAsia="Arial Narrow" w:hAnsiTheme="minorHAnsi" w:cstheme="minorHAnsi"/>
          <w:sz w:val="24"/>
          <w:szCs w:val="24"/>
          <w:lang w:val="it-IT"/>
        </w:rPr>
        <w:t>, ISFOL ; a cura di Massimiliano Bonanni, Roma,</w:t>
      </w:r>
      <w:r w:rsidRPr="00511922">
        <w:rPr>
          <w:rFonts w:asciiTheme="minorHAnsi" w:eastAsia="Arial Narrow" w:hAnsiTheme="minorHAnsi" w:cstheme="minorHAnsi"/>
          <w:b/>
          <w:sz w:val="24"/>
          <w:szCs w:val="24"/>
          <w:lang w:val="it-IT"/>
        </w:rPr>
        <w:t xml:space="preserve"> </w:t>
      </w:r>
      <w:r w:rsidRPr="00511922">
        <w:rPr>
          <w:rFonts w:asciiTheme="minorHAnsi" w:eastAsia="Arial Narrow" w:hAnsiTheme="minorHAnsi" w:cstheme="minorHAnsi"/>
          <w:sz w:val="24"/>
          <w:szCs w:val="24"/>
          <w:lang w:val="it-IT"/>
        </w:rPr>
        <w:t>ISFOL, c2014 (I libri del Fondo sociale europeo ; 201)</w:t>
      </w:r>
    </w:p>
    <w:p w14:paraId="6BB7A4DC" w14:textId="1D3FBF5E" w:rsidR="00455C88" w:rsidRPr="00511922" w:rsidRDefault="00455C88" w:rsidP="00511922">
      <w:pPr>
        <w:spacing w:line="1" w:lineRule="exact"/>
        <w:rPr>
          <w:rFonts w:asciiTheme="minorHAnsi" w:eastAsia="Times New Roman" w:hAnsiTheme="minorHAnsi" w:cstheme="minorHAnsi"/>
          <w:sz w:val="24"/>
          <w:szCs w:val="24"/>
          <w:lang w:val="it-IT"/>
        </w:rPr>
      </w:pPr>
    </w:p>
    <w:p w14:paraId="7F3C7B30" w14:textId="77777777" w:rsidR="00455C88" w:rsidRPr="00511922" w:rsidRDefault="00455C88" w:rsidP="00511922">
      <w:pPr>
        <w:spacing w:line="239" w:lineRule="auto"/>
        <w:ind w:right="-3"/>
        <w:rPr>
          <w:rFonts w:asciiTheme="minorHAnsi" w:eastAsia="Arial Narrow" w:hAnsiTheme="minorHAnsi" w:cstheme="minorHAnsi"/>
          <w:sz w:val="24"/>
          <w:szCs w:val="24"/>
          <w:lang w:val="it-IT"/>
        </w:rPr>
      </w:pPr>
      <w:r w:rsidRPr="00511922">
        <w:rPr>
          <w:rFonts w:asciiTheme="minorHAnsi" w:eastAsia="Arial Narrow" w:hAnsiTheme="minorHAnsi" w:cstheme="minorHAnsi"/>
          <w:sz w:val="24"/>
          <w:szCs w:val="24"/>
          <w:lang w:val="it-IT"/>
        </w:rPr>
        <w:t>L'indagine qualitativa ha come obiettivo lo studio che riguarda l'inserimento formativo e lavorativo di una particolare categoria di persone in condizione di svantaggio sociale e personale: i detenuti degli istituti di pena, nella piccola porzione di 15 soggetti, tra donne e uomini, e 7 operatori carcerari dell'istituto romano di Rebibbia. La ricerca sociologica intende perseguire obiettivi che ineriscono gli eventuali innalzamenti del grado di soddisfazione personale che l'esperienza lavorativa può apportare e di potenziale reintegrativo, una volta terminato il periodo di detenzione, attraverso l'utilizzo di un'indagine in profondità, che per mezzo di interviste non strutturate riesca anche ad individuare le sfumature emozionali, talvolta drammatiche, talvolta invece veicolanti condizioni di benessere che i detenuti, solo nel libero eloquio, tendono a sentire psicologicamente e a trasmettere all'esterno.</w:t>
      </w:r>
    </w:p>
    <w:p w14:paraId="6DC90B0E" w14:textId="1CE864EC" w:rsidR="00C77CA4" w:rsidRPr="00511922" w:rsidRDefault="007F4C1C" w:rsidP="00511922">
      <w:pPr>
        <w:spacing w:line="200" w:lineRule="exact"/>
        <w:rPr>
          <w:rFonts w:asciiTheme="minorHAnsi" w:eastAsia="Times New Roman" w:hAnsiTheme="minorHAnsi" w:cstheme="minorHAnsi"/>
          <w:sz w:val="24"/>
          <w:szCs w:val="24"/>
          <w:lang w:val="it-IT"/>
        </w:rPr>
      </w:pPr>
      <w:r>
        <w:rPr>
          <w:rFonts w:asciiTheme="minorHAnsi" w:eastAsia="Times New Roman" w:hAnsiTheme="minorHAnsi" w:cstheme="minorHAnsi"/>
          <w:noProof/>
          <w:sz w:val="24"/>
          <w:szCs w:val="24"/>
          <w:lang w:val="it-IT" w:eastAsia="it-IT"/>
        </w:rPr>
        <w:drawing>
          <wp:inline distT="0" distB="0" distL="0" distR="0" wp14:anchorId="4F68C773" wp14:editId="6A461033">
            <wp:extent cx="774065" cy="109855"/>
            <wp:effectExtent l="0" t="0" r="6985" b="4445"/>
            <wp:docPr id="89" name="Immagin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0492AA0B" w14:textId="77777777" w:rsidR="00C77CA4" w:rsidRPr="00511922" w:rsidRDefault="00C77CA4" w:rsidP="00511922">
      <w:pPr>
        <w:spacing w:line="256" w:lineRule="auto"/>
        <w:ind w:right="-3"/>
        <w:rPr>
          <w:rFonts w:asciiTheme="minorHAnsi" w:eastAsia="Arial Narrow" w:hAnsiTheme="minorHAnsi" w:cstheme="minorHAnsi"/>
          <w:sz w:val="24"/>
          <w:szCs w:val="24"/>
          <w:lang w:val="it-IT"/>
        </w:rPr>
      </w:pPr>
      <w:bookmarkStart w:id="15" w:name="page4"/>
      <w:bookmarkEnd w:id="15"/>
      <w:r w:rsidRPr="00511922">
        <w:rPr>
          <w:rFonts w:asciiTheme="minorHAnsi" w:eastAsia="Arial Narrow" w:hAnsiTheme="minorHAnsi" w:cstheme="minorHAnsi"/>
          <w:b/>
          <w:sz w:val="24"/>
          <w:szCs w:val="24"/>
          <w:lang w:val="it-IT"/>
        </w:rPr>
        <w:t>Rendicontazione sociale, catena di valore e questione della misurabilità</w:t>
      </w:r>
      <w:r w:rsidRPr="00511922">
        <w:rPr>
          <w:rFonts w:asciiTheme="minorHAnsi" w:eastAsia="Arial Narrow" w:hAnsiTheme="minorHAnsi" w:cstheme="minorHAnsi"/>
          <w:sz w:val="24"/>
          <w:szCs w:val="24"/>
          <w:lang w:val="it-IT"/>
        </w:rPr>
        <w:t>,</w:t>
      </w:r>
      <w:r w:rsidRPr="00511922">
        <w:rPr>
          <w:rFonts w:asciiTheme="minorHAnsi" w:eastAsia="Arial Narrow" w:hAnsiTheme="minorHAnsi" w:cstheme="minorHAnsi"/>
          <w:b/>
          <w:sz w:val="24"/>
          <w:szCs w:val="24"/>
          <w:lang w:val="it-IT"/>
        </w:rPr>
        <w:t xml:space="preserve"> </w:t>
      </w:r>
      <w:r w:rsidRPr="00511922">
        <w:rPr>
          <w:rFonts w:asciiTheme="minorHAnsi" w:eastAsia="Arial Narrow" w:hAnsiTheme="minorHAnsi" w:cstheme="minorHAnsi"/>
          <w:sz w:val="24"/>
          <w:szCs w:val="24"/>
          <w:lang w:val="it-IT"/>
        </w:rPr>
        <w:t>ISFOL ; di Cristiana Ranieri, Roma, ISFOL, c2015 (Isfol Research Paper ; 27)</w:t>
      </w:r>
    </w:p>
    <w:p w14:paraId="09920B24" w14:textId="1A672595" w:rsidR="00C77CA4" w:rsidRPr="00511922" w:rsidRDefault="00C77CA4" w:rsidP="00511922">
      <w:pPr>
        <w:spacing w:line="1" w:lineRule="exact"/>
        <w:rPr>
          <w:rFonts w:asciiTheme="minorHAnsi" w:eastAsia="Times New Roman" w:hAnsiTheme="minorHAnsi" w:cstheme="minorHAnsi"/>
          <w:sz w:val="24"/>
          <w:szCs w:val="24"/>
          <w:lang w:val="it-IT"/>
        </w:rPr>
      </w:pPr>
    </w:p>
    <w:p w14:paraId="42C21ED2" w14:textId="77777777" w:rsidR="00C77CA4" w:rsidRPr="00511922" w:rsidRDefault="00C77CA4" w:rsidP="00511922">
      <w:pPr>
        <w:spacing w:line="239" w:lineRule="auto"/>
        <w:ind w:right="-3"/>
        <w:rPr>
          <w:rFonts w:asciiTheme="minorHAnsi" w:eastAsia="Arial Narrow" w:hAnsiTheme="minorHAnsi" w:cstheme="minorHAnsi"/>
          <w:sz w:val="24"/>
          <w:szCs w:val="24"/>
          <w:lang w:val="it-IT"/>
        </w:rPr>
      </w:pPr>
      <w:r w:rsidRPr="00511922">
        <w:rPr>
          <w:rFonts w:asciiTheme="minorHAnsi" w:eastAsia="Arial Narrow" w:hAnsiTheme="minorHAnsi" w:cstheme="minorHAnsi"/>
          <w:sz w:val="24"/>
          <w:szCs w:val="24"/>
          <w:lang w:val="it-IT"/>
        </w:rPr>
        <w:t>Il research paper contiene i risultati conseguiti in materia di rendicontazione sociale intesa come complesso ambito di qualificazione delle organizzazioni di economia sociale e non profit. Lo studio e l’analisi delle esperienze sviluppate evidenziano una molteplicità di dimensioni e linee evolutive (ottica, sistemi, processi e strumenti) nella relazione tra definizioni operative e profili attuativi, campi di applicazione e sistemi di misurazione. Di fronte al crescente interesse osservato da parte di un’ampia platea di stakeholder (nel sistema pubblico, nel Terzo settore, nel privato e nella finanza etica, oltreché nel dibattito culturale e scientifico) il contributo intende considerare e valorizzare la necessità di cogliere asset comuni. L’approccio quali-quantitativo restituisce un quadro di scenario concettuale e di evidenze empiriche anche alla luce della riforma in atto sul Terzo settore e delle innovazioni introdotte nel sistema degli appalti dalle clausole sociali per l’inclusione attiva e lo sviluppo di servizi sociali di interesse generale.</w:t>
      </w:r>
    </w:p>
    <w:p w14:paraId="2C2547B7" w14:textId="1358A918" w:rsidR="00C77CA4" w:rsidRPr="00511922" w:rsidRDefault="007F4C1C" w:rsidP="007F4C1C">
      <w:pPr>
        <w:spacing w:line="239" w:lineRule="auto"/>
        <w:ind w:right="-3"/>
        <w:rPr>
          <w:rFonts w:asciiTheme="minorHAnsi" w:eastAsia="Arial Narrow" w:hAnsiTheme="minorHAnsi" w:cstheme="minorHAnsi"/>
          <w:sz w:val="24"/>
          <w:szCs w:val="24"/>
          <w:lang w:val="it-IT"/>
        </w:rPr>
      </w:pPr>
      <w:r>
        <w:rPr>
          <w:rFonts w:asciiTheme="minorHAnsi" w:eastAsia="Arial Narrow" w:hAnsiTheme="minorHAnsi" w:cstheme="minorHAnsi"/>
          <w:noProof/>
          <w:sz w:val="24"/>
          <w:szCs w:val="24"/>
          <w:lang w:val="it-IT" w:eastAsia="it-IT"/>
        </w:rPr>
        <w:drawing>
          <wp:inline distT="0" distB="0" distL="0" distR="0" wp14:anchorId="0101FBC6" wp14:editId="0BE2B579">
            <wp:extent cx="774065" cy="109855"/>
            <wp:effectExtent l="0" t="0" r="6985" b="4445"/>
            <wp:docPr id="90" name="Immagin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418B96A8" w14:textId="77777777" w:rsidR="00455C88" w:rsidRPr="00511922" w:rsidRDefault="00455C88" w:rsidP="00511922">
      <w:pPr>
        <w:spacing w:line="264" w:lineRule="auto"/>
        <w:ind w:right="-3"/>
        <w:rPr>
          <w:rFonts w:asciiTheme="minorHAnsi" w:eastAsia="Arial Narrow" w:hAnsiTheme="minorHAnsi" w:cstheme="minorHAnsi"/>
          <w:sz w:val="24"/>
          <w:szCs w:val="24"/>
          <w:lang w:val="it-IT"/>
        </w:rPr>
      </w:pPr>
      <w:bookmarkStart w:id="16" w:name="page7"/>
      <w:bookmarkEnd w:id="16"/>
      <w:r w:rsidRPr="00511922">
        <w:rPr>
          <w:rFonts w:asciiTheme="minorHAnsi" w:eastAsia="Arial Narrow" w:hAnsiTheme="minorHAnsi" w:cstheme="minorHAnsi"/>
          <w:b/>
          <w:sz w:val="24"/>
          <w:szCs w:val="24"/>
          <w:lang w:val="it-IT"/>
        </w:rPr>
        <w:t>Responsabilità sociale d’impresa : policy e pratiche</w:t>
      </w:r>
      <w:r w:rsidRPr="00511922">
        <w:rPr>
          <w:rFonts w:asciiTheme="minorHAnsi" w:eastAsia="Arial Narrow" w:hAnsiTheme="minorHAnsi" w:cstheme="minorHAnsi"/>
          <w:sz w:val="24"/>
          <w:szCs w:val="24"/>
          <w:lang w:val="it-IT"/>
        </w:rPr>
        <w:t>, ISFOL ; Paola Nicoletti, Roma, ISFOL,</w:t>
      </w:r>
      <w:r w:rsidRPr="00511922">
        <w:rPr>
          <w:rFonts w:asciiTheme="minorHAnsi" w:eastAsia="Arial Narrow" w:hAnsiTheme="minorHAnsi" w:cstheme="minorHAnsi"/>
          <w:b/>
          <w:sz w:val="24"/>
          <w:szCs w:val="24"/>
          <w:lang w:val="it-IT"/>
        </w:rPr>
        <w:t xml:space="preserve"> </w:t>
      </w:r>
      <w:r w:rsidRPr="00511922">
        <w:rPr>
          <w:rFonts w:asciiTheme="minorHAnsi" w:eastAsia="Arial Narrow" w:hAnsiTheme="minorHAnsi" w:cstheme="minorHAnsi"/>
          <w:sz w:val="24"/>
          <w:szCs w:val="24"/>
          <w:lang w:val="it-IT"/>
        </w:rPr>
        <w:t>c2014. (I libri del Fondo sociale europeo ; 192)</w:t>
      </w:r>
    </w:p>
    <w:p w14:paraId="231F742A" w14:textId="44D038D3" w:rsidR="00455C88" w:rsidRPr="00511922" w:rsidRDefault="00455C88" w:rsidP="00511922">
      <w:pPr>
        <w:spacing w:line="1" w:lineRule="exact"/>
        <w:rPr>
          <w:rFonts w:asciiTheme="minorHAnsi" w:eastAsia="Times New Roman" w:hAnsiTheme="minorHAnsi" w:cstheme="minorHAnsi"/>
          <w:sz w:val="24"/>
          <w:szCs w:val="24"/>
          <w:lang w:val="it-IT"/>
        </w:rPr>
      </w:pPr>
    </w:p>
    <w:p w14:paraId="08B82D87" w14:textId="77777777" w:rsidR="00455C88" w:rsidRPr="00511922" w:rsidRDefault="00455C88" w:rsidP="00511922">
      <w:pPr>
        <w:spacing w:line="239" w:lineRule="auto"/>
        <w:ind w:right="-3"/>
        <w:rPr>
          <w:rFonts w:asciiTheme="minorHAnsi" w:eastAsia="Arial Narrow" w:hAnsiTheme="minorHAnsi" w:cstheme="minorHAnsi"/>
          <w:sz w:val="24"/>
          <w:szCs w:val="24"/>
          <w:lang w:val="it-IT"/>
        </w:rPr>
      </w:pPr>
      <w:r w:rsidRPr="00511922">
        <w:rPr>
          <w:rFonts w:asciiTheme="minorHAnsi" w:eastAsia="Arial Narrow" w:hAnsiTheme="minorHAnsi" w:cstheme="minorHAnsi"/>
          <w:sz w:val="24"/>
          <w:szCs w:val="24"/>
          <w:lang w:val="it-IT"/>
        </w:rPr>
        <w:t xml:space="preserve">Il volume presenta i risultati di una ricerca sulla Corporate Social Responsibility (CSR) realizzata nell’ambito della filiera formazione e impresa formativa e fornisce un quadro di riferimento delle policy nazionali, europee e internazionali in materia, con un focus sulle motivazioni che hanno indotto le aziende ad agire in questo interessante e ancora poco esplorato campo di attività, sull’investimento in formazione, sulla valorizzazione delle risorse umane, nonché sul delicato e sempre più attuale tema del Corporate Welfare. Il testo individua alcune esperienze significative adottate nel nostro Paese, sia nelle multinazionali e nelle grandi imprese, che nelle imprese di dimensioni minori, che si sono sviluppate anche grazie a un articolato e complesso sistema di standard e linee guida internazionali di gestione sociale e ambientale. Le interviste condotte agli opinion leader dei sistemi associativi imprenditoriali e ai protagonisti delle imprese offrono un importante quadro di riferimento e una visione d’insieme originale delle problematiche legate all’introduzione della responsabilità sociale nelle aziende. Si tratta di una parte della ricerca di originale valore, anche per la scelta di forte </w:t>
      </w:r>
      <w:r w:rsidRPr="00511922">
        <w:rPr>
          <w:rFonts w:asciiTheme="minorHAnsi" w:eastAsia="Arial Narrow" w:hAnsiTheme="minorHAnsi" w:cstheme="minorHAnsi"/>
          <w:sz w:val="24"/>
          <w:szCs w:val="24"/>
          <w:lang w:val="it-IT"/>
        </w:rPr>
        <w:lastRenderedPageBreak/>
        <w:t>coinvolgimento nella diffusione della CSR nelle PMI, fatto che può contribuire a sistematizzare e consolidare un ruolo di sostegno all’intero impianto nazionale di welfare che sta soffrendo pesantemente degli effetti della crisi.</w:t>
      </w:r>
    </w:p>
    <w:p w14:paraId="1CB74559" w14:textId="016B8574" w:rsidR="00455C88" w:rsidRPr="00511922" w:rsidRDefault="007F4C1C" w:rsidP="00511922">
      <w:pPr>
        <w:spacing w:line="197" w:lineRule="exact"/>
        <w:rPr>
          <w:rFonts w:asciiTheme="minorHAnsi" w:eastAsia="Times New Roman" w:hAnsiTheme="minorHAnsi" w:cstheme="minorHAnsi"/>
          <w:sz w:val="24"/>
          <w:szCs w:val="24"/>
          <w:lang w:val="it-IT"/>
        </w:rPr>
      </w:pPr>
      <w:r>
        <w:rPr>
          <w:rFonts w:asciiTheme="minorHAnsi" w:eastAsia="Times New Roman" w:hAnsiTheme="minorHAnsi" w:cstheme="minorHAnsi"/>
          <w:noProof/>
          <w:sz w:val="24"/>
          <w:szCs w:val="24"/>
          <w:lang w:val="it-IT" w:eastAsia="it-IT"/>
        </w:rPr>
        <w:drawing>
          <wp:inline distT="0" distB="0" distL="0" distR="0" wp14:anchorId="17C09BCE" wp14:editId="6558240A">
            <wp:extent cx="774065" cy="109855"/>
            <wp:effectExtent l="0" t="0" r="6985" b="4445"/>
            <wp:docPr id="91" name="Immagin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3DEC2EBD" w14:textId="60C9EF50" w:rsidR="00455C88" w:rsidRPr="00511922" w:rsidRDefault="00455C88" w:rsidP="00511922">
      <w:pPr>
        <w:spacing w:line="253" w:lineRule="auto"/>
        <w:ind w:right="-3"/>
        <w:rPr>
          <w:rFonts w:asciiTheme="minorHAnsi" w:eastAsia="Arial Narrow" w:hAnsiTheme="minorHAnsi" w:cstheme="minorHAnsi"/>
          <w:sz w:val="24"/>
          <w:szCs w:val="24"/>
          <w:lang w:val="it-IT"/>
        </w:rPr>
      </w:pPr>
      <w:r w:rsidRPr="00511922">
        <w:rPr>
          <w:rFonts w:asciiTheme="minorHAnsi" w:eastAsia="Arial Narrow" w:hAnsiTheme="minorHAnsi" w:cstheme="minorHAnsi"/>
          <w:b/>
          <w:sz w:val="24"/>
          <w:szCs w:val="24"/>
          <w:lang w:val="it-IT"/>
        </w:rPr>
        <w:t>Responsabilità sociale d’impresa nelle PMI : l’emersione della formazione implicita e dell’innovazione sociale</w:t>
      </w:r>
      <w:r w:rsidR="00511922">
        <w:rPr>
          <w:rFonts w:asciiTheme="minorHAnsi" w:eastAsia="Arial Narrow" w:hAnsiTheme="minorHAnsi" w:cstheme="minorHAnsi"/>
          <w:b/>
          <w:sz w:val="24"/>
          <w:szCs w:val="24"/>
          <w:lang w:val="it-IT"/>
        </w:rPr>
        <w:t xml:space="preserve">, </w:t>
      </w:r>
      <w:r w:rsidRPr="00511922">
        <w:rPr>
          <w:rFonts w:asciiTheme="minorHAnsi" w:eastAsia="Arial Narrow" w:hAnsiTheme="minorHAnsi" w:cstheme="minorHAnsi"/>
          <w:sz w:val="24"/>
          <w:szCs w:val="24"/>
          <w:lang w:val="it-IT"/>
        </w:rPr>
        <w:t>ISFOL ; Paola Nicoletti, Roma, ISFOL, c2015 (I libri</w:t>
      </w:r>
      <w:r w:rsidRPr="00511922">
        <w:rPr>
          <w:rFonts w:asciiTheme="minorHAnsi" w:eastAsia="Arial Narrow" w:hAnsiTheme="minorHAnsi" w:cstheme="minorHAnsi"/>
          <w:b/>
          <w:sz w:val="24"/>
          <w:szCs w:val="24"/>
          <w:lang w:val="it-IT"/>
        </w:rPr>
        <w:t xml:space="preserve"> </w:t>
      </w:r>
      <w:r w:rsidRPr="00511922">
        <w:rPr>
          <w:rFonts w:asciiTheme="minorHAnsi" w:eastAsia="Arial Narrow" w:hAnsiTheme="minorHAnsi" w:cstheme="minorHAnsi"/>
          <w:sz w:val="24"/>
          <w:szCs w:val="24"/>
          <w:lang w:val="it-IT"/>
        </w:rPr>
        <w:t>del Fondo sociale europeo ; 203)</w:t>
      </w:r>
    </w:p>
    <w:p w14:paraId="28C9E679" w14:textId="5E31D141" w:rsidR="00455C88" w:rsidRPr="00511922" w:rsidRDefault="00455C88" w:rsidP="00511922">
      <w:pPr>
        <w:spacing w:line="1" w:lineRule="exact"/>
        <w:rPr>
          <w:rFonts w:asciiTheme="minorHAnsi" w:eastAsia="Times New Roman" w:hAnsiTheme="minorHAnsi" w:cstheme="minorHAnsi"/>
          <w:sz w:val="24"/>
          <w:szCs w:val="24"/>
          <w:lang w:val="it-IT"/>
        </w:rPr>
      </w:pPr>
    </w:p>
    <w:p w14:paraId="649B7351" w14:textId="77777777" w:rsidR="00455C88" w:rsidRPr="00511922" w:rsidRDefault="00455C88" w:rsidP="00511922">
      <w:pPr>
        <w:spacing w:line="239" w:lineRule="auto"/>
        <w:ind w:right="40"/>
        <w:rPr>
          <w:rFonts w:asciiTheme="minorHAnsi" w:eastAsia="Arial Narrow" w:hAnsiTheme="minorHAnsi" w:cstheme="minorHAnsi"/>
          <w:sz w:val="24"/>
          <w:szCs w:val="24"/>
          <w:lang w:val="it-IT"/>
        </w:rPr>
      </w:pPr>
      <w:r w:rsidRPr="00511922">
        <w:rPr>
          <w:rFonts w:asciiTheme="minorHAnsi" w:eastAsia="Arial Narrow" w:hAnsiTheme="minorHAnsi" w:cstheme="minorHAnsi"/>
          <w:sz w:val="24"/>
          <w:szCs w:val="24"/>
          <w:lang w:val="it-IT"/>
        </w:rPr>
        <w:t>L’Isfol arricchisce con questa nuova ricerca il filone di attività che ha sviluppato negli ultimi tre anni sulla Corporate Social Responsibility (CSR), approfondendo e rilevando con una specifica indagine questo impegno da parte delle PMI. Il volume mette in luce come le prospettive di sviluppo nelle piccole e medie imprese di un orientamento strategico che inglobi la Responsabilità Sociale d’Impresa passi necessariamente attraverso una sua più esplicita e formale emersione, a partire dagli interventi di formazione e di welfare aziendale, su cui si riportano gli interessanti risultati dell’indagine qualitativa realizzata. Il volume analizza in particolare l’impegno nella formazione delle risorse umane quale pilastro della sostenibilità affrontando anche la complessa problematica dell’emersione della formazione implicita, ampiamente utilizzata dalle piccole e micro imprese per trasferire il know how ai dipendenti attraverso la formazione sul lavoro o in affiancamento, oltre che con interventi formativi corsuali strutturati, realizzati all’interno e all’esterno dell’azienda, peraltro rilevati nell’indagine. Una specifica attenzione è stata rivolta anche al fenomeno delle aggregazioni tra imprese (reti, distretti, consorzi) come strumento di sostenibilità e ai modelli di bilateralità tra imprese e sindacati. È stata inoltre realizzata una ricognizione degli strumenti e modelli di gestione e di rendicontazione sociale mirata per le PMI, con l’individuazione di specifici indicatori, al fine di mettere in trasparenza e rendere misurabile, attraverso un percorso di tracciabilità e riconoscimento formale di CSR, l’impegno nelle iniziative di responsabilità sociale, in particolare in materia di formazione e crescita del capitale umano e di innovazione sociale.</w:t>
      </w:r>
    </w:p>
    <w:p w14:paraId="7BC423F6" w14:textId="3F951C14" w:rsidR="00001DAC" w:rsidRPr="00511922" w:rsidRDefault="007F4C1C" w:rsidP="007F4C1C">
      <w:pPr>
        <w:spacing w:line="239" w:lineRule="auto"/>
        <w:ind w:right="40"/>
        <w:rPr>
          <w:rFonts w:asciiTheme="minorHAnsi" w:eastAsia="Arial Narrow" w:hAnsiTheme="minorHAnsi" w:cstheme="minorHAnsi"/>
          <w:sz w:val="24"/>
          <w:szCs w:val="24"/>
          <w:lang w:val="it-IT"/>
        </w:rPr>
      </w:pPr>
      <w:r>
        <w:rPr>
          <w:rFonts w:asciiTheme="minorHAnsi" w:eastAsia="Arial Narrow" w:hAnsiTheme="minorHAnsi" w:cstheme="minorHAnsi"/>
          <w:noProof/>
          <w:sz w:val="24"/>
          <w:szCs w:val="24"/>
          <w:lang w:val="it-IT" w:eastAsia="it-IT"/>
        </w:rPr>
        <w:drawing>
          <wp:inline distT="0" distB="0" distL="0" distR="0" wp14:anchorId="254B32E5" wp14:editId="6BE4B232">
            <wp:extent cx="774065" cy="109855"/>
            <wp:effectExtent l="0" t="0" r="6985" b="4445"/>
            <wp:docPr id="92" name="Immagin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323F23AC" w14:textId="77777777" w:rsidR="00DA20DA" w:rsidRPr="00511922" w:rsidRDefault="00DA20DA" w:rsidP="00511922">
      <w:pPr>
        <w:rPr>
          <w:rFonts w:asciiTheme="minorHAnsi" w:hAnsiTheme="minorHAnsi" w:cstheme="minorHAnsi"/>
          <w:b/>
          <w:bCs/>
          <w:iCs/>
          <w:sz w:val="24"/>
          <w:szCs w:val="24"/>
          <w:lang w:val="it-IT"/>
        </w:rPr>
      </w:pPr>
      <w:r w:rsidRPr="001B1AE5">
        <w:rPr>
          <w:rFonts w:asciiTheme="minorHAnsi" w:hAnsiTheme="minorHAnsi" w:cstheme="minorHAnsi"/>
          <w:b/>
          <w:bCs/>
          <w:iCs/>
          <w:sz w:val="24"/>
          <w:szCs w:val="24"/>
          <w:lang w:val="it-IT"/>
        </w:rPr>
        <w:t>La rete e il trampolino. Indirizzi comunitari in materia di welfare ed investimenti sociali</w:t>
      </w:r>
      <w:r w:rsidRPr="001B1AE5">
        <w:rPr>
          <w:rFonts w:asciiTheme="minorHAnsi" w:hAnsiTheme="minorHAnsi" w:cstheme="minorHAnsi"/>
          <w:bCs/>
          <w:iCs/>
          <w:sz w:val="24"/>
          <w:szCs w:val="24"/>
          <w:lang w:val="it-IT"/>
        </w:rPr>
        <w:t>,</w:t>
      </w:r>
      <w:r w:rsidRPr="00511922">
        <w:rPr>
          <w:rFonts w:asciiTheme="minorHAnsi" w:hAnsiTheme="minorHAnsi" w:cstheme="minorHAnsi"/>
          <w:b/>
          <w:bCs/>
          <w:i/>
          <w:iCs/>
          <w:sz w:val="24"/>
          <w:szCs w:val="24"/>
          <w:lang w:val="it-IT"/>
        </w:rPr>
        <w:t xml:space="preserve"> </w:t>
      </w:r>
      <w:r w:rsidRPr="00511922">
        <w:rPr>
          <w:rFonts w:asciiTheme="minorHAnsi" w:hAnsiTheme="minorHAnsi" w:cstheme="minorHAnsi"/>
          <w:bCs/>
          <w:iCs/>
          <w:sz w:val="24"/>
          <w:szCs w:val="24"/>
          <w:lang w:val="it-IT"/>
        </w:rPr>
        <w:t>Scialdone Antonello, “Quaderni di economia del lavoro”, 2015, n. 103, p. 169-182</w:t>
      </w:r>
    </w:p>
    <w:p w14:paraId="3B484A83" w14:textId="77777777" w:rsidR="00DA20DA" w:rsidRPr="00511922" w:rsidRDefault="00DA20DA" w:rsidP="00511922">
      <w:pPr>
        <w:rPr>
          <w:rFonts w:asciiTheme="minorHAnsi" w:hAnsiTheme="minorHAnsi" w:cstheme="minorHAnsi"/>
          <w:bCs/>
          <w:iCs/>
          <w:sz w:val="24"/>
          <w:szCs w:val="24"/>
          <w:lang w:val="it-IT"/>
        </w:rPr>
      </w:pPr>
      <w:r w:rsidRPr="00511922">
        <w:rPr>
          <w:rFonts w:asciiTheme="minorHAnsi" w:hAnsiTheme="minorHAnsi" w:cstheme="minorHAnsi"/>
          <w:bCs/>
          <w:iCs/>
          <w:sz w:val="24"/>
          <w:szCs w:val="24"/>
          <w:lang w:val="it-IT"/>
        </w:rPr>
        <w:t>Un quarto dei cittadini degli Stati membri è considerato a rischio di povertà e vive in situazioni di elevata deprivazione materiale. Le istituzioni comunitarie hanno prodotto diverse iniziative finalizzate all’obiettivo dell’inclusione su cui vengono sollecitati tanto i governi nazionali quanto i sistemi di autonomie locali.</w:t>
      </w:r>
    </w:p>
    <w:p w14:paraId="0BEA2FF9" w14:textId="5EF9AFF7" w:rsidR="00DA20DA" w:rsidRPr="007F4C1C" w:rsidRDefault="007F4C1C" w:rsidP="00511922">
      <w:pPr>
        <w:rPr>
          <w:rFonts w:asciiTheme="minorHAnsi" w:hAnsiTheme="minorHAnsi" w:cstheme="minorHAnsi"/>
          <w:b/>
          <w:bCs/>
          <w:iCs/>
          <w:sz w:val="24"/>
          <w:szCs w:val="24"/>
          <w:lang w:val="it-IT"/>
        </w:rPr>
      </w:pPr>
      <w:r>
        <w:rPr>
          <w:rFonts w:asciiTheme="minorHAnsi" w:hAnsiTheme="minorHAnsi" w:cstheme="minorHAnsi"/>
          <w:b/>
          <w:bCs/>
          <w:iCs/>
          <w:noProof/>
          <w:sz w:val="24"/>
          <w:szCs w:val="24"/>
          <w:lang w:val="it-IT" w:eastAsia="it-IT"/>
        </w:rPr>
        <w:drawing>
          <wp:inline distT="0" distB="0" distL="0" distR="0" wp14:anchorId="2FC7AE7B" wp14:editId="48FE4DC1">
            <wp:extent cx="774065" cy="109855"/>
            <wp:effectExtent l="0" t="0" r="6985" b="4445"/>
            <wp:docPr id="93" name="Immagin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24E1C9D5" w14:textId="77777777" w:rsidR="00DA20DA" w:rsidRPr="00511922" w:rsidRDefault="00DA20DA" w:rsidP="00511922">
      <w:pPr>
        <w:spacing w:line="253" w:lineRule="auto"/>
        <w:ind w:right="120"/>
        <w:rPr>
          <w:rFonts w:asciiTheme="minorHAnsi" w:eastAsia="Arial Narrow" w:hAnsiTheme="minorHAnsi" w:cstheme="minorHAnsi"/>
          <w:sz w:val="24"/>
          <w:szCs w:val="24"/>
          <w:lang w:val="it-IT"/>
        </w:rPr>
      </w:pPr>
      <w:r w:rsidRPr="00511922">
        <w:rPr>
          <w:rFonts w:asciiTheme="minorHAnsi" w:eastAsia="Arial Narrow" w:hAnsiTheme="minorHAnsi" w:cstheme="minorHAnsi"/>
          <w:b/>
          <w:sz w:val="24"/>
          <w:szCs w:val="24"/>
          <w:lang w:val="it-IT"/>
        </w:rPr>
        <w:t>Riflessioni per un linguaggio non discriminatorio : alcune proposte per la redazione di avvisi pubblici di Fondo sociale europeo</w:t>
      </w:r>
      <w:r w:rsidRPr="00B4187C">
        <w:rPr>
          <w:rFonts w:asciiTheme="minorHAnsi" w:eastAsia="Arial Narrow" w:hAnsiTheme="minorHAnsi" w:cstheme="minorHAnsi"/>
          <w:sz w:val="24"/>
          <w:szCs w:val="24"/>
          <w:lang w:val="it-IT"/>
        </w:rPr>
        <w:t>,</w:t>
      </w:r>
      <w:r w:rsidRPr="00511922">
        <w:rPr>
          <w:rFonts w:asciiTheme="minorHAnsi" w:eastAsia="Arial Narrow" w:hAnsiTheme="minorHAnsi" w:cstheme="minorHAnsi"/>
          <w:b/>
          <w:sz w:val="24"/>
          <w:szCs w:val="24"/>
          <w:lang w:val="it-IT"/>
        </w:rPr>
        <w:t xml:space="preserve"> </w:t>
      </w:r>
      <w:r w:rsidRPr="00511922">
        <w:rPr>
          <w:rFonts w:asciiTheme="minorHAnsi" w:eastAsia="Arial Narrow" w:hAnsiTheme="minorHAnsi" w:cstheme="minorHAnsi"/>
          <w:sz w:val="24"/>
          <w:szCs w:val="24"/>
          <w:lang w:val="it-IT"/>
        </w:rPr>
        <w:t>ISFOL ; Lucia Chiurco, Laura Gentile,</w:t>
      </w:r>
      <w:r w:rsidRPr="00511922">
        <w:rPr>
          <w:rFonts w:asciiTheme="minorHAnsi" w:eastAsia="Arial Narrow" w:hAnsiTheme="minorHAnsi" w:cstheme="minorHAnsi"/>
          <w:b/>
          <w:sz w:val="24"/>
          <w:szCs w:val="24"/>
          <w:lang w:val="it-IT"/>
        </w:rPr>
        <w:t xml:space="preserve"> </w:t>
      </w:r>
      <w:r w:rsidRPr="00511922">
        <w:rPr>
          <w:rFonts w:asciiTheme="minorHAnsi" w:eastAsia="Arial Narrow" w:hAnsiTheme="minorHAnsi" w:cstheme="minorHAnsi"/>
          <w:sz w:val="24"/>
          <w:szCs w:val="24"/>
          <w:lang w:val="it-IT"/>
        </w:rPr>
        <w:t>Germana Monaldi, Roma : ISFOL, c2014. - (Isfol Occasional paper ; 15)</w:t>
      </w:r>
    </w:p>
    <w:p w14:paraId="0508ACED" w14:textId="54C8C4EE" w:rsidR="00DA20DA" w:rsidRPr="00511922" w:rsidRDefault="00DA20DA" w:rsidP="00511922">
      <w:pPr>
        <w:spacing w:line="1" w:lineRule="exact"/>
        <w:rPr>
          <w:rFonts w:asciiTheme="minorHAnsi" w:eastAsia="Times New Roman" w:hAnsiTheme="minorHAnsi" w:cstheme="minorHAnsi"/>
          <w:sz w:val="24"/>
          <w:szCs w:val="24"/>
          <w:lang w:val="it-IT"/>
        </w:rPr>
      </w:pPr>
    </w:p>
    <w:p w14:paraId="38DEAA95" w14:textId="77777777" w:rsidR="00DA20DA" w:rsidRPr="00511922" w:rsidRDefault="00DA20DA" w:rsidP="00511922">
      <w:pPr>
        <w:spacing w:line="239" w:lineRule="auto"/>
        <w:ind w:right="60"/>
        <w:rPr>
          <w:rFonts w:asciiTheme="minorHAnsi" w:eastAsia="Arial Narrow" w:hAnsiTheme="minorHAnsi" w:cstheme="minorHAnsi"/>
          <w:sz w:val="24"/>
          <w:szCs w:val="24"/>
          <w:lang w:val="it-IT"/>
        </w:rPr>
      </w:pPr>
      <w:r w:rsidRPr="00511922">
        <w:rPr>
          <w:rFonts w:asciiTheme="minorHAnsi" w:eastAsia="Arial Narrow" w:hAnsiTheme="minorHAnsi" w:cstheme="minorHAnsi"/>
          <w:sz w:val="24"/>
          <w:szCs w:val="24"/>
          <w:lang w:val="it-IT"/>
        </w:rPr>
        <w:t xml:space="preserve">Il presente lavoro offre un contributo alla questione, fondamentale, di un uso appropriato delle parole, quando riferite a persone e gruppi sociali posti ai margini o con esperienze di discriminazione; le riflessioni si rivolgono alle amministrazioni titolari di Programmi operativi di Fondo sociale europeo che redigono avvisi pubblici rivolti alla cittadinanza. Per linguaggio non discriminatorio si intendono quelle forme linguistiche e quel particolare che non stereotipizza, non etichetta, non denigra, non </w:t>
      </w:r>
      <w:r w:rsidRPr="00511922">
        <w:rPr>
          <w:rFonts w:asciiTheme="minorHAnsi" w:eastAsia="Arial Narrow" w:hAnsiTheme="minorHAnsi" w:cstheme="minorHAnsi"/>
          <w:sz w:val="24"/>
          <w:szCs w:val="24"/>
          <w:lang w:val="it-IT"/>
        </w:rPr>
        <w:lastRenderedPageBreak/>
        <w:t>cancella o omette e che riconosce e rispetta la dignità di ogni persona, a prescindere dal proprio status personale, sociale, economico e giuridico.</w:t>
      </w:r>
    </w:p>
    <w:p w14:paraId="0062CB53" w14:textId="0FA151CE" w:rsidR="00DA20DA" w:rsidRPr="00511922" w:rsidRDefault="007F4C1C" w:rsidP="007F4C1C">
      <w:pPr>
        <w:spacing w:line="239" w:lineRule="auto"/>
        <w:ind w:right="60"/>
        <w:rPr>
          <w:rFonts w:asciiTheme="minorHAnsi" w:eastAsia="Arial Narrow" w:hAnsiTheme="minorHAnsi" w:cstheme="minorHAnsi"/>
          <w:sz w:val="24"/>
          <w:szCs w:val="24"/>
          <w:lang w:val="it-IT"/>
        </w:rPr>
      </w:pPr>
      <w:r>
        <w:rPr>
          <w:rFonts w:asciiTheme="minorHAnsi" w:eastAsia="Arial Narrow" w:hAnsiTheme="minorHAnsi" w:cstheme="minorHAnsi"/>
          <w:noProof/>
          <w:sz w:val="24"/>
          <w:szCs w:val="24"/>
          <w:lang w:val="it-IT" w:eastAsia="it-IT"/>
        </w:rPr>
        <w:drawing>
          <wp:inline distT="0" distB="0" distL="0" distR="0" wp14:anchorId="708A730A" wp14:editId="7772F155">
            <wp:extent cx="774065" cy="109855"/>
            <wp:effectExtent l="0" t="0" r="6985" b="4445"/>
            <wp:docPr id="95" name="Immagin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77B13B91" w14:textId="77777777" w:rsidR="00001DAC" w:rsidRPr="00511922" w:rsidRDefault="00001DAC" w:rsidP="00511922">
      <w:pPr>
        <w:rPr>
          <w:rFonts w:asciiTheme="minorHAnsi" w:hAnsiTheme="minorHAnsi" w:cstheme="minorHAnsi"/>
          <w:b/>
          <w:bCs/>
          <w:iCs/>
          <w:sz w:val="24"/>
          <w:szCs w:val="24"/>
          <w:lang w:val="it-IT"/>
        </w:rPr>
      </w:pPr>
      <w:r w:rsidRPr="00B4187C">
        <w:rPr>
          <w:rFonts w:asciiTheme="minorHAnsi" w:hAnsiTheme="minorHAnsi" w:cstheme="minorHAnsi"/>
          <w:b/>
          <w:bCs/>
          <w:iCs/>
          <w:sz w:val="24"/>
          <w:szCs w:val="24"/>
          <w:lang w:val="it-IT"/>
        </w:rPr>
        <w:t>I rom nella programmazione 2014-2020: come tradurre le strategie dei Fondi strutturali in azioni concrete</w:t>
      </w:r>
      <w:r w:rsidRPr="00B4187C">
        <w:rPr>
          <w:rFonts w:asciiTheme="minorHAnsi" w:hAnsiTheme="minorHAnsi" w:cstheme="minorHAnsi"/>
          <w:bCs/>
          <w:iCs/>
          <w:sz w:val="24"/>
          <w:szCs w:val="24"/>
          <w:lang w:val="it-IT"/>
        </w:rPr>
        <w:t>,</w:t>
      </w:r>
      <w:r w:rsidRPr="00511922">
        <w:rPr>
          <w:rFonts w:asciiTheme="minorHAnsi" w:hAnsiTheme="minorHAnsi" w:cstheme="minorHAnsi"/>
          <w:b/>
          <w:bCs/>
          <w:iCs/>
          <w:sz w:val="24"/>
          <w:szCs w:val="24"/>
          <w:lang w:val="it-IT"/>
        </w:rPr>
        <w:t xml:space="preserve"> </w:t>
      </w:r>
      <w:r w:rsidRPr="00511922">
        <w:rPr>
          <w:rFonts w:asciiTheme="minorHAnsi" w:hAnsiTheme="minorHAnsi" w:cstheme="minorHAnsi"/>
          <w:bCs/>
          <w:iCs/>
          <w:sz w:val="24"/>
          <w:szCs w:val="24"/>
          <w:lang w:val="it-IT"/>
        </w:rPr>
        <w:t>Anderini Sabina, Racioppo Anna Rita, “Osservatorio Isfol”, 2013, n. 1-2,  p. 113-134</w:t>
      </w:r>
    </w:p>
    <w:p w14:paraId="65471AAA" w14:textId="77777777" w:rsidR="00001DAC" w:rsidRPr="00511922" w:rsidRDefault="00001DAC" w:rsidP="00511922">
      <w:pPr>
        <w:rPr>
          <w:rFonts w:asciiTheme="minorHAnsi" w:hAnsiTheme="minorHAnsi" w:cstheme="minorHAnsi"/>
          <w:bCs/>
          <w:iCs/>
          <w:sz w:val="24"/>
          <w:szCs w:val="24"/>
          <w:lang w:val="it-IT"/>
        </w:rPr>
      </w:pPr>
      <w:r w:rsidRPr="00511922">
        <w:rPr>
          <w:rFonts w:asciiTheme="minorHAnsi" w:hAnsiTheme="minorHAnsi" w:cstheme="minorHAnsi"/>
          <w:bCs/>
          <w:iCs/>
          <w:sz w:val="24"/>
          <w:szCs w:val="24"/>
          <w:lang w:val="it-IT"/>
        </w:rPr>
        <w:t>Si evidenzia il processo di programmazione che ha portato alla definizione di un Quadro europeo per le Strategie nazionali per l’inclusione dei rom in Europa e in Italia.</w:t>
      </w:r>
    </w:p>
    <w:p w14:paraId="2EA47F37" w14:textId="411F2F6A" w:rsidR="00001DAC" w:rsidRPr="00511922" w:rsidRDefault="007F4C1C" w:rsidP="007F4C1C">
      <w:pPr>
        <w:spacing w:line="239" w:lineRule="auto"/>
        <w:ind w:right="40"/>
        <w:rPr>
          <w:rFonts w:asciiTheme="minorHAnsi" w:eastAsia="Arial Narrow" w:hAnsiTheme="minorHAnsi" w:cstheme="minorHAnsi"/>
          <w:sz w:val="24"/>
          <w:szCs w:val="24"/>
          <w:lang w:val="it-IT"/>
        </w:rPr>
      </w:pPr>
      <w:r>
        <w:rPr>
          <w:rFonts w:asciiTheme="minorHAnsi" w:eastAsia="Arial Narrow" w:hAnsiTheme="minorHAnsi" w:cstheme="minorHAnsi"/>
          <w:noProof/>
          <w:sz w:val="24"/>
          <w:szCs w:val="24"/>
          <w:lang w:val="it-IT" w:eastAsia="it-IT"/>
        </w:rPr>
        <w:drawing>
          <wp:inline distT="0" distB="0" distL="0" distR="0" wp14:anchorId="5EEEE451" wp14:editId="022ADAF9">
            <wp:extent cx="774065" cy="109855"/>
            <wp:effectExtent l="0" t="0" r="6985" b="4445"/>
            <wp:docPr id="94" name="Immagin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395F42D9" w14:textId="77777777" w:rsidR="00455C88" w:rsidRPr="00511922" w:rsidRDefault="00455C88" w:rsidP="00511922">
      <w:pPr>
        <w:spacing w:line="256" w:lineRule="auto"/>
        <w:ind w:right="60"/>
        <w:rPr>
          <w:rFonts w:asciiTheme="minorHAnsi" w:eastAsia="Arial Narrow" w:hAnsiTheme="minorHAnsi" w:cstheme="minorHAnsi"/>
          <w:sz w:val="24"/>
          <w:szCs w:val="24"/>
          <w:lang w:val="it-IT"/>
        </w:rPr>
      </w:pPr>
      <w:r w:rsidRPr="00511922">
        <w:rPr>
          <w:rFonts w:asciiTheme="minorHAnsi" w:eastAsia="Arial Narrow" w:hAnsiTheme="minorHAnsi" w:cstheme="minorHAnsi"/>
          <w:b/>
          <w:sz w:val="24"/>
          <w:szCs w:val="24"/>
          <w:lang w:val="it-IT"/>
        </w:rPr>
        <w:t>Salute mentale e lavoro : l'esperienza della Regione Friuli Venezia Giulia : progetto PRO:P (...)</w:t>
      </w:r>
      <w:r w:rsidRPr="00B4187C">
        <w:rPr>
          <w:rFonts w:asciiTheme="minorHAnsi" w:eastAsia="Arial Narrow" w:hAnsiTheme="minorHAnsi" w:cstheme="minorHAnsi"/>
          <w:sz w:val="24"/>
          <w:szCs w:val="24"/>
          <w:lang w:val="it-IT"/>
        </w:rPr>
        <w:t xml:space="preserve">, </w:t>
      </w:r>
      <w:r w:rsidRPr="00511922">
        <w:rPr>
          <w:rFonts w:asciiTheme="minorHAnsi" w:eastAsia="Arial Narrow" w:hAnsiTheme="minorHAnsi" w:cstheme="minorHAnsi"/>
          <w:sz w:val="24"/>
          <w:szCs w:val="24"/>
          <w:lang w:val="it-IT"/>
        </w:rPr>
        <w:t>ISFOL, Regione Autonoma Friuli Venezia Giulia, COSM ; a cura di Giovanni Bartoli, Roma : ISFOL, c2015</w:t>
      </w:r>
    </w:p>
    <w:p w14:paraId="16944FC2" w14:textId="5A297407" w:rsidR="00455C88" w:rsidRPr="00511922" w:rsidRDefault="00455C88" w:rsidP="00511922">
      <w:pPr>
        <w:spacing w:line="1" w:lineRule="exact"/>
        <w:rPr>
          <w:rFonts w:asciiTheme="minorHAnsi" w:eastAsia="Times New Roman" w:hAnsiTheme="minorHAnsi" w:cstheme="minorHAnsi"/>
          <w:sz w:val="24"/>
          <w:szCs w:val="24"/>
          <w:lang w:val="it-IT"/>
        </w:rPr>
      </w:pPr>
    </w:p>
    <w:p w14:paraId="52C47F8C" w14:textId="77777777" w:rsidR="00455C88" w:rsidRPr="00511922" w:rsidRDefault="00455C88" w:rsidP="00511922">
      <w:pPr>
        <w:spacing w:line="239" w:lineRule="auto"/>
        <w:ind w:right="-3"/>
        <w:rPr>
          <w:rFonts w:asciiTheme="minorHAnsi" w:eastAsia="Arial Narrow" w:hAnsiTheme="minorHAnsi" w:cstheme="minorHAnsi"/>
          <w:sz w:val="24"/>
          <w:szCs w:val="24"/>
          <w:lang w:val="it-IT"/>
        </w:rPr>
      </w:pPr>
      <w:r w:rsidRPr="00511922">
        <w:rPr>
          <w:rFonts w:asciiTheme="minorHAnsi" w:eastAsia="Arial Narrow" w:hAnsiTheme="minorHAnsi" w:cstheme="minorHAnsi"/>
          <w:sz w:val="24"/>
          <w:szCs w:val="24"/>
          <w:lang w:val="it-IT"/>
        </w:rPr>
        <w:t>A seguito dell'adesione della Regione Friuli Venezia Giulia al Progetto di ricerca "Pro.P-Programma per il sostegno e lo sviluppo dei percorsi integrati di inserimento socio-lavorativo dei soggetti con disturbi psichici", coordinato dall’ISFOL, l’indagine ha approfondito le specifiche tematiche territoriali legate ai percorsi di inserimento dei soggetti con disturbo psichico attraverso lo studio delle diverse variabili che influenzano tali percorsi, compreso il tema degli appalti e l’applicazione delle clausole sociali. L’importanza dei percorsi di inserimento lavorativo è convalidata dalle più recenti ricerche internazionali che dimostrano come l’inserimento lavorativo sia accompagnato da una riduzione dei costi sanitari e assistenziali e da un miglioramento della qualità di vita.</w:t>
      </w:r>
    </w:p>
    <w:p w14:paraId="6FFD6C32" w14:textId="302AC772" w:rsidR="00EB422E" w:rsidRPr="00511922" w:rsidRDefault="007F4C1C" w:rsidP="007F4C1C">
      <w:pPr>
        <w:spacing w:line="239" w:lineRule="auto"/>
        <w:ind w:right="-3"/>
        <w:rPr>
          <w:rFonts w:asciiTheme="minorHAnsi" w:eastAsia="Arial Narrow" w:hAnsiTheme="minorHAnsi" w:cstheme="minorHAnsi"/>
          <w:sz w:val="24"/>
          <w:szCs w:val="24"/>
          <w:lang w:val="it-IT"/>
        </w:rPr>
      </w:pPr>
      <w:r>
        <w:rPr>
          <w:rFonts w:asciiTheme="minorHAnsi" w:eastAsia="Arial Narrow" w:hAnsiTheme="minorHAnsi" w:cstheme="minorHAnsi"/>
          <w:noProof/>
          <w:sz w:val="24"/>
          <w:szCs w:val="24"/>
          <w:lang w:val="it-IT" w:eastAsia="it-IT"/>
        </w:rPr>
        <w:drawing>
          <wp:inline distT="0" distB="0" distL="0" distR="0" wp14:anchorId="3F986B87" wp14:editId="579953A5">
            <wp:extent cx="774065" cy="109855"/>
            <wp:effectExtent l="0" t="0" r="6985" b="4445"/>
            <wp:docPr id="96" name="Immagin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131C862F" w14:textId="77777777" w:rsidR="00EB422E" w:rsidRPr="00511922" w:rsidRDefault="00EB422E" w:rsidP="00511922">
      <w:pPr>
        <w:rPr>
          <w:rFonts w:asciiTheme="minorHAnsi" w:hAnsiTheme="minorHAnsi" w:cstheme="minorHAnsi"/>
          <w:b/>
          <w:bCs/>
          <w:iCs/>
          <w:sz w:val="24"/>
          <w:szCs w:val="24"/>
          <w:lang w:val="it-IT"/>
        </w:rPr>
      </w:pPr>
      <w:r w:rsidRPr="00B60AE5">
        <w:rPr>
          <w:rFonts w:asciiTheme="minorHAnsi" w:hAnsiTheme="minorHAnsi" w:cstheme="minorHAnsi"/>
          <w:b/>
          <w:bCs/>
          <w:iCs/>
          <w:sz w:val="24"/>
          <w:szCs w:val="24"/>
          <w:lang w:val="it-IT"/>
        </w:rPr>
        <w:t>Sfide e risultati di un progetto per l’inclusione attiva delle persone con disabilità psichica nel mercato del lavoro</w:t>
      </w:r>
      <w:r w:rsidRPr="00B60AE5">
        <w:rPr>
          <w:rFonts w:asciiTheme="minorHAnsi" w:hAnsiTheme="minorHAnsi" w:cstheme="minorHAnsi"/>
          <w:bCs/>
          <w:iCs/>
          <w:sz w:val="24"/>
          <w:szCs w:val="24"/>
          <w:lang w:val="it-IT"/>
        </w:rPr>
        <w:t>,</w:t>
      </w:r>
      <w:r w:rsidRPr="00511922">
        <w:rPr>
          <w:rFonts w:asciiTheme="minorHAnsi" w:hAnsiTheme="minorHAnsi" w:cstheme="minorHAnsi"/>
          <w:b/>
          <w:bCs/>
          <w:iCs/>
          <w:sz w:val="24"/>
          <w:szCs w:val="24"/>
          <w:lang w:val="it-IT"/>
        </w:rPr>
        <w:t xml:space="preserve"> </w:t>
      </w:r>
      <w:r w:rsidRPr="00511922">
        <w:rPr>
          <w:rFonts w:asciiTheme="minorHAnsi" w:hAnsiTheme="minorHAnsi" w:cstheme="minorHAnsi"/>
          <w:bCs/>
          <w:iCs/>
          <w:sz w:val="24"/>
          <w:szCs w:val="24"/>
          <w:lang w:val="it-IT"/>
        </w:rPr>
        <w:t>Varesi Pier Antonio, “Osservatorio Isfol", 2015, n. 4, pp. 9-10</w:t>
      </w:r>
      <w:r w:rsidRPr="00511922">
        <w:rPr>
          <w:rFonts w:asciiTheme="minorHAnsi" w:hAnsiTheme="minorHAnsi" w:cstheme="minorHAnsi"/>
          <w:b/>
          <w:bCs/>
          <w:iCs/>
          <w:sz w:val="24"/>
          <w:szCs w:val="24"/>
          <w:lang w:val="it-IT"/>
        </w:rPr>
        <w:t xml:space="preserve"> </w:t>
      </w:r>
    </w:p>
    <w:p w14:paraId="4854662E" w14:textId="77777777" w:rsidR="00EB422E" w:rsidRPr="00511922" w:rsidRDefault="00EB422E" w:rsidP="00511922">
      <w:pPr>
        <w:rPr>
          <w:rFonts w:asciiTheme="minorHAnsi" w:hAnsiTheme="minorHAnsi" w:cstheme="minorHAnsi"/>
          <w:bCs/>
          <w:iCs/>
          <w:sz w:val="24"/>
          <w:szCs w:val="24"/>
          <w:lang w:val="it-IT"/>
        </w:rPr>
      </w:pPr>
      <w:r w:rsidRPr="00511922">
        <w:rPr>
          <w:rFonts w:asciiTheme="minorHAnsi" w:hAnsiTheme="minorHAnsi" w:cstheme="minorHAnsi"/>
          <w:bCs/>
          <w:iCs/>
          <w:sz w:val="24"/>
          <w:szCs w:val="24"/>
          <w:lang w:val="it-IT"/>
        </w:rPr>
        <w:t>L’Osservatorio sull’inclusione sociale (OIS) dell’Isfol ha avviato il Programma per il sostegno e lo sviluppo dei percorsi integrati di inclusione socio-lavorativa dei soggetti con disturbo psichico progetto Pro.P che si è posto l’obiettivo di realizzare azioni di sistema finalizzate al sostegno dei percorsi di formazione e di inserimento socio-lavorativo delle persone disabili, in particolare con disturbo psichico.</w:t>
      </w:r>
    </w:p>
    <w:p w14:paraId="575DEEEE" w14:textId="2640C4F6" w:rsidR="00455C88" w:rsidRPr="00511922" w:rsidRDefault="00455C88" w:rsidP="00511922">
      <w:pPr>
        <w:spacing w:line="200" w:lineRule="exact"/>
        <w:rPr>
          <w:rFonts w:asciiTheme="minorHAnsi" w:eastAsia="Times New Roman" w:hAnsiTheme="minorHAnsi" w:cstheme="minorHAnsi"/>
          <w:sz w:val="24"/>
          <w:szCs w:val="24"/>
          <w:lang w:val="it-IT"/>
        </w:rPr>
      </w:pPr>
      <w:r w:rsidRPr="00511922">
        <w:rPr>
          <w:rFonts w:asciiTheme="minorHAnsi" w:eastAsia="Arial Narrow" w:hAnsiTheme="minorHAnsi" w:cstheme="minorHAnsi"/>
          <w:noProof/>
          <w:sz w:val="24"/>
          <w:szCs w:val="24"/>
          <w:lang w:val="it-IT" w:eastAsia="it-IT"/>
        </w:rPr>
        <mc:AlternateContent>
          <mc:Choice Requires="wps">
            <w:drawing>
              <wp:anchor distT="0" distB="0" distL="114300" distR="114300" simplePos="0" relativeHeight="251746304" behindDoc="1" locked="0" layoutInCell="0" allowOverlap="1" wp14:anchorId="43114019" wp14:editId="28933F8D">
                <wp:simplePos x="0" y="0"/>
                <wp:positionH relativeFrom="column">
                  <wp:posOffset>6028690</wp:posOffset>
                </wp:positionH>
                <wp:positionV relativeFrom="paragraph">
                  <wp:posOffset>-117475</wp:posOffset>
                </wp:positionV>
                <wp:extent cx="287655" cy="182245"/>
                <wp:effectExtent l="0" t="0" r="1905" b="635"/>
                <wp:wrapNone/>
                <wp:docPr id="16" name="Rettango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 cy="182245"/>
                        </a:xfrm>
                        <a:prstGeom prst="rect">
                          <a:avLst/>
                        </a:prstGeom>
                        <a:solidFill>
                          <a:srgbClr val="F5F5F5"/>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tangolo 16" o:spid="_x0000_s1026" style="position:absolute;margin-left:474.7pt;margin-top:-9.25pt;width:22.65pt;height:14.3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" o:allowincell="f" fillcolor="#f5f5f5" strokecolor="white"/>
            </w:pict>
          </mc:Fallback>
        </mc:AlternateContent>
      </w:r>
      <w:bookmarkStart w:id="17" w:name="page8"/>
      <w:bookmarkEnd w:id="17"/>
      <w:r w:rsidR="007F4C1C">
        <w:rPr>
          <w:rFonts w:asciiTheme="minorHAnsi" w:eastAsia="Times New Roman" w:hAnsiTheme="minorHAnsi" w:cstheme="minorHAnsi"/>
          <w:noProof/>
          <w:sz w:val="24"/>
          <w:szCs w:val="24"/>
          <w:lang w:val="it-IT" w:eastAsia="it-IT"/>
        </w:rPr>
        <w:drawing>
          <wp:inline distT="0" distB="0" distL="0" distR="0" wp14:anchorId="42FAC36D" wp14:editId="140F33BE">
            <wp:extent cx="774065" cy="109855"/>
            <wp:effectExtent l="0" t="0" r="6985" b="4445"/>
            <wp:docPr id="97" name="Immagin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49A40ED4" w14:textId="24ED0479" w:rsidR="00455C88" w:rsidRPr="00511922" w:rsidRDefault="00455C88" w:rsidP="00511922">
      <w:pPr>
        <w:spacing w:line="0" w:lineRule="atLeast"/>
        <w:rPr>
          <w:rFonts w:asciiTheme="minorHAnsi" w:eastAsia="Arial Narrow" w:hAnsiTheme="minorHAnsi" w:cstheme="minorHAnsi"/>
          <w:sz w:val="24"/>
          <w:szCs w:val="24"/>
          <w:lang w:val="it-IT"/>
        </w:rPr>
      </w:pPr>
      <w:r w:rsidRPr="00511922">
        <w:rPr>
          <w:rFonts w:asciiTheme="minorHAnsi" w:eastAsia="Arial Narrow" w:hAnsiTheme="minorHAnsi" w:cstheme="minorHAnsi"/>
          <w:b/>
          <w:sz w:val="24"/>
          <w:szCs w:val="24"/>
          <w:lang w:val="it-IT"/>
        </w:rPr>
        <w:t>Il sostegno del FSE 2007-2013 alla costruzione di sistemi regionali di innovazione,</w:t>
      </w:r>
      <w:r w:rsidRPr="00511922">
        <w:rPr>
          <w:rFonts w:asciiTheme="minorHAnsi" w:eastAsia="Arial Narrow" w:hAnsiTheme="minorHAnsi" w:cstheme="minorHAnsi"/>
          <w:sz w:val="24"/>
          <w:szCs w:val="24"/>
          <w:lang w:val="it-IT"/>
        </w:rPr>
        <w:t xml:space="preserve"> ISFOL ; di Silvia Ciampi ... [et al.], Roma, ISFOL, c2013 (Isfol Occasional paper ; 11)</w:t>
      </w:r>
    </w:p>
    <w:p w14:paraId="35D9CA36" w14:textId="77777777" w:rsidR="00455C88" w:rsidRPr="00511922" w:rsidRDefault="00455C88" w:rsidP="00511922">
      <w:pPr>
        <w:spacing w:line="1" w:lineRule="exact"/>
        <w:rPr>
          <w:rFonts w:asciiTheme="minorHAnsi" w:eastAsia="Times New Roman" w:hAnsiTheme="minorHAnsi" w:cstheme="minorHAnsi"/>
          <w:sz w:val="24"/>
          <w:szCs w:val="24"/>
          <w:lang w:val="it-IT"/>
        </w:rPr>
      </w:pPr>
    </w:p>
    <w:p w14:paraId="7F2F425E" w14:textId="77777777" w:rsidR="00455C88" w:rsidRPr="00511922" w:rsidRDefault="00455C88" w:rsidP="00511922">
      <w:pPr>
        <w:spacing w:line="239" w:lineRule="auto"/>
        <w:ind w:right="-3"/>
        <w:rPr>
          <w:rFonts w:asciiTheme="minorHAnsi" w:eastAsia="Arial Narrow" w:hAnsiTheme="minorHAnsi" w:cstheme="minorHAnsi"/>
          <w:sz w:val="24"/>
          <w:szCs w:val="24"/>
          <w:lang w:val="it-IT"/>
        </w:rPr>
      </w:pPr>
      <w:r w:rsidRPr="00511922">
        <w:rPr>
          <w:rFonts w:asciiTheme="minorHAnsi" w:eastAsia="Arial Narrow" w:hAnsiTheme="minorHAnsi" w:cstheme="minorHAnsi"/>
          <w:sz w:val="24"/>
          <w:szCs w:val="24"/>
          <w:lang w:val="it-IT"/>
        </w:rPr>
        <w:t>Il paper propone una sintesi dei principali risultati di uno studio, condotto dall’Isfol nel corso del 2012, sugli interventi a sostegno dell’innovazione promossi dalle regioni attraverso il Fondo sociale europeo (Fse). In coerenza con il Regional Innovation System Approach, si sono presi in considerazione ed analizzati gli interventi attuati a valere sui Programmi operativi regionali (Por) finalizzati al consolidamento e allo sviluppo dei cosiddetti “fattori abilitanti”, vale a dire di quegli elementi necessari a sostenere processi di sviluppo territoriale fondati sull’innovazione. Lo studio è destinato a fornire ai policy maker evidenze circa il contributo fornito dal Fse alla creazione di sistemi regionali di innovazione, in vista della definizione dei Programmi operativi per il nuovo periodo di programmazione 2014-2020.</w:t>
      </w:r>
    </w:p>
    <w:p w14:paraId="5821D0B0" w14:textId="77777777" w:rsidR="00001DAC" w:rsidRDefault="00001DAC" w:rsidP="007F4C1C">
      <w:pPr>
        <w:spacing w:line="239" w:lineRule="auto"/>
        <w:ind w:right="-3"/>
        <w:rPr>
          <w:rFonts w:asciiTheme="minorHAnsi" w:eastAsia="Arial Narrow" w:hAnsiTheme="minorHAnsi" w:cstheme="minorHAnsi"/>
          <w:sz w:val="24"/>
          <w:szCs w:val="24"/>
          <w:lang w:val="it-IT"/>
        </w:rPr>
      </w:pPr>
    </w:p>
    <w:p w14:paraId="1DD0C90B" w14:textId="77777777" w:rsidR="007F4C1C" w:rsidRDefault="007F4C1C" w:rsidP="007F4C1C">
      <w:pPr>
        <w:spacing w:line="239" w:lineRule="auto"/>
        <w:ind w:right="-3"/>
        <w:rPr>
          <w:rFonts w:asciiTheme="minorHAnsi" w:eastAsia="Arial Narrow" w:hAnsiTheme="minorHAnsi" w:cstheme="minorHAnsi"/>
          <w:sz w:val="24"/>
          <w:szCs w:val="24"/>
          <w:lang w:val="it-IT"/>
        </w:rPr>
      </w:pPr>
    </w:p>
    <w:p w14:paraId="6DBD5CE5" w14:textId="77777777" w:rsidR="007F4C1C" w:rsidRPr="00511922" w:rsidRDefault="007F4C1C" w:rsidP="007F4C1C">
      <w:pPr>
        <w:spacing w:line="239" w:lineRule="auto"/>
        <w:ind w:right="-3"/>
        <w:rPr>
          <w:rFonts w:asciiTheme="minorHAnsi" w:eastAsia="Arial Narrow" w:hAnsiTheme="minorHAnsi" w:cstheme="minorHAnsi"/>
          <w:sz w:val="24"/>
          <w:szCs w:val="24"/>
          <w:lang w:val="it-IT"/>
        </w:rPr>
      </w:pPr>
    </w:p>
    <w:p w14:paraId="2E5315E5" w14:textId="77777777" w:rsidR="00001DAC" w:rsidRPr="00511922" w:rsidRDefault="00001DAC" w:rsidP="00511922">
      <w:pPr>
        <w:rPr>
          <w:rFonts w:asciiTheme="minorHAnsi" w:hAnsiTheme="minorHAnsi" w:cstheme="minorHAnsi"/>
          <w:b/>
          <w:bCs/>
          <w:iCs/>
          <w:sz w:val="24"/>
          <w:szCs w:val="24"/>
          <w:lang w:val="it-IT"/>
        </w:rPr>
      </w:pPr>
      <w:r w:rsidRPr="00FA3A7F">
        <w:rPr>
          <w:rFonts w:asciiTheme="minorHAnsi" w:hAnsiTheme="minorHAnsi" w:cstheme="minorHAnsi"/>
          <w:b/>
          <w:bCs/>
          <w:iCs/>
          <w:sz w:val="24"/>
          <w:szCs w:val="24"/>
          <w:lang w:val="it-IT"/>
        </w:rPr>
        <w:lastRenderedPageBreak/>
        <w:t>Tutela della maternità: la Corte di giustizia pone al centro il principio di pari opportunità</w:t>
      </w:r>
      <w:r w:rsidRPr="00511922">
        <w:rPr>
          <w:rFonts w:asciiTheme="minorHAnsi" w:hAnsiTheme="minorHAnsi" w:cstheme="minorHAnsi"/>
          <w:bCs/>
          <w:i/>
          <w:iCs/>
          <w:sz w:val="24"/>
          <w:szCs w:val="24"/>
          <w:lang w:val="it-IT"/>
        </w:rPr>
        <w:t>,</w:t>
      </w:r>
      <w:r w:rsidRPr="00511922">
        <w:rPr>
          <w:rFonts w:asciiTheme="minorHAnsi" w:hAnsiTheme="minorHAnsi" w:cstheme="minorHAnsi"/>
          <w:b/>
          <w:bCs/>
          <w:i/>
          <w:iCs/>
          <w:sz w:val="24"/>
          <w:szCs w:val="24"/>
          <w:lang w:val="it-IT"/>
        </w:rPr>
        <w:t xml:space="preserve"> </w:t>
      </w:r>
      <w:r w:rsidRPr="00511922">
        <w:rPr>
          <w:rFonts w:asciiTheme="minorHAnsi" w:hAnsiTheme="minorHAnsi" w:cstheme="minorHAnsi"/>
          <w:bCs/>
          <w:iCs/>
          <w:sz w:val="24"/>
          <w:szCs w:val="24"/>
          <w:lang w:val="it-IT"/>
        </w:rPr>
        <w:t>Viale Valeria, “Diritto delle relazioni industriali”, 2014, n.3, p. 849-855</w:t>
      </w:r>
    </w:p>
    <w:p w14:paraId="447BB028" w14:textId="77777777" w:rsidR="00001DAC" w:rsidRPr="00511922" w:rsidRDefault="00001DAC" w:rsidP="00511922">
      <w:pPr>
        <w:rPr>
          <w:rFonts w:asciiTheme="minorHAnsi" w:hAnsiTheme="minorHAnsi" w:cstheme="minorHAnsi"/>
          <w:b/>
          <w:bCs/>
          <w:i/>
          <w:iCs/>
          <w:sz w:val="24"/>
          <w:szCs w:val="24"/>
          <w:lang w:val="it-IT"/>
        </w:rPr>
      </w:pPr>
      <w:r w:rsidRPr="00511922">
        <w:rPr>
          <w:rFonts w:asciiTheme="minorHAnsi" w:hAnsiTheme="minorHAnsi" w:cstheme="minorHAnsi"/>
          <w:bCs/>
          <w:iCs/>
          <w:sz w:val="24"/>
          <w:szCs w:val="24"/>
          <w:lang w:val="it-IT"/>
        </w:rPr>
        <w:t xml:space="preserve">Combattere le discriminazioni sulla base del sesso e introdurre misure di conciliazione lavoro-famiglia.  A questo proposito è rilevante la salvaguardia dell’occupazione e la tutela della donna in congedo di maternità così come enucleato dalla Corte di giustizia dell’Unione europea nella causa C-595/12. </w:t>
      </w:r>
    </w:p>
    <w:p w14:paraId="53121EA9" w14:textId="072F6025" w:rsidR="00455C88" w:rsidRPr="00511922" w:rsidRDefault="007F4C1C" w:rsidP="00511922">
      <w:pPr>
        <w:spacing w:line="197" w:lineRule="exact"/>
        <w:rPr>
          <w:rFonts w:asciiTheme="minorHAnsi" w:eastAsia="Times New Roman" w:hAnsiTheme="minorHAnsi" w:cstheme="minorHAnsi"/>
          <w:sz w:val="24"/>
          <w:szCs w:val="24"/>
          <w:lang w:val="it-IT"/>
        </w:rPr>
      </w:pPr>
      <w:r>
        <w:rPr>
          <w:rFonts w:asciiTheme="minorHAnsi" w:eastAsia="Times New Roman" w:hAnsiTheme="minorHAnsi" w:cstheme="minorHAnsi"/>
          <w:noProof/>
          <w:sz w:val="24"/>
          <w:szCs w:val="24"/>
          <w:lang w:val="it-IT" w:eastAsia="it-IT"/>
        </w:rPr>
        <w:drawing>
          <wp:inline distT="0" distB="0" distL="0" distR="0" wp14:anchorId="1BC35F40" wp14:editId="7CBD59EA">
            <wp:extent cx="774065" cy="109855"/>
            <wp:effectExtent l="0" t="0" r="6985" b="4445"/>
            <wp:docPr id="98" name="Immagin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792F25AA" w14:textId="77777777" w:rsidR="00455C88" w:rsidRPr="00511922" w:rsidRDefault="00455C88" w:rsidP="00511922">
      <w:pPr>
        <w:spacing w:line="265" w:lineRule="auto"/>
        <w:ind w:right="-3"/>
        <w:rPr>
          <w:rFonts w:asciiTheme="minorHAnsi" w:eastAsia="Arial Narrow" w:hAnsiTheme="minorHAnsi" w:cstheme="minorHAnsi"/>
          <w:sz w:val="24"/>
          <w:szCs w:val="24"/>
          <w:lang w:val="it-IT"/>
        </w:rPr>
      </w:pPr>
      <w:r w:rsidRPr="00511922">
        <w:rPr>
          <w:rFonts w:asciiTheme="minorHAnsi" w:eastAsia="Arial Narrow" w:hAnsiTheme="minorHAnsi" w:cstheme="minorHAnsi"/>
          <w:b/>
          <w:sz w:val="24"/>
          <w:szCs w:val="24"/>
          <w:lang w:val="it-IT"/>
        </w:rPr>
        <w:t>Le traiettorie dell’integrazione tra Fondi paritetici e Fondo sociale europeo in Emilia Romagna : i risultati di una analisi qualitativa</w:t>
      </w:r>
      <w:r w:rsidRPr="004F696B">
        <w:rPr>
          <w:rFonts w:asciiTheme="minorHAnsi" w:eastAsia="Arial Narrow" w:hAnsiTheme="minorHAnsi" w:cstheme="minorHAnsi"/>
          <w:sz w:val="24"/>
          <w:szCs w:val="24"/>
          <w:lang w:val="it-IT"/>
        </w:rPr>
        <w:t xml:space="preserve">, </w:t>
      </w:r>
      <w:r w:rsidRPr="00511922">
        <w:rPr>
          <w:rFonts w:asciiTheme="minorHAnsi" w:eastAsia="Arial Narrow" w:hAnsiTheme="minorHAnsi" w:cstheme="minorHAnsi"/>
          <w:sz w:val="24"/>
          <w:szCs w:val="24"/>
          <w:lang w:val="it-IT"/>
        </w:rPr>
        <w:t>ISFOL ; a cura di Giuseppe Di Lieto e</w:t>
      </w:r>
      <w:r w:rsidRPr="00511922">
        <w:rPr>
          <w:rFonts w:asciiTheme="minorHAnsi" w:eastAsia="Arial Narrow" w:hAnsiTheme="minorHAnsi" w:cstheme="minorHAnsi"/>
          <w:b/>
          <w:sz w:val="24"/>
          <w:szCs w:val="24"/>
          <w:lang w:val="it-IT"/>
        </w:rPr>
        <w:t xml:space="preserve"> </w:t>
      </w:r>
      <w:r w:rsidRPr="00511922">
        <w:rPr>
          <w:rFonts w:asciiTheme="minorHAnsi" w:eastAsia="Arial Narrow" w:hAnsiTheme="minorHAnsi" w:cstheme="minorHAnsi"/>
          <w:sz w:val="24"/>
          <w:szCs w:val="24"/>
          <w:lang w:val="it-IT"/>
        </w:rPr>
        <w:t>Davide Premutico, Roma, ISFOL, c2014 (Isfol Research Paper ; 19)</w:t>
      </w:r>
    </w:p>
    <w:p w14:paraId="20C4D6A8" w14:textId="52CBF392" w:rsidR="00455C88" w:rsidRPr="00511922" w:rsidRDefault="00455C88" w:rsidP="00511922">
      <w:pPr>
        <w:spacing w:line="1" w:lineRule="exact"/>
        <w:rPr>
          <w:rFonts w:asciiTheme="minorHAnsi" w:eastAsia="Times New Roman" w:hAnsiTheme="minorHAnsi" w:cstheme="minorHAnsi"/>
          <w:sz w:val="24"/>
          <w:szCs w:val="24"/>
          <w:lang w:val="it-IT"/>
        </w:rPr>
      </w:pPr>
    </w:p>
    <w:p w14:paraId="3A6BB416" w14:textId="77777777" w:rsidR="00455C88" w:rsidRPr="00511922" w:rsidRDefault="00455C88" w:rsidP="00511922">
      <w:pPr>
        <w:spacing w:line="239" w:lineRule="auto"/>
        <w:ind w:right="-3"/>
        <w:rPr>
          <w:rFonts w:asciiTheme="minorHAnsi" w:eastAsia="Arial Narrow" w:hAnsiTheme="minorHAnsi" w:cstheme="minorHAnsi"/>
          <w:sz w:val="24"/>
          <w:szCs w:val="24"/>
          <w:lang w:val="it-IT"/>
        </w:rPr>
      </w:pPr>
      <w:r w:rsidRPr="00511922">
        <w:rPr>
          <w:rFonts w:asciiTheme="minorHAnsi" w:eastAsia="Arial Narrow" w:hAnsiTheme="minorHAnsi" w:cstheme="minorHAnsi"/>
          <w:sz w:val="24"/>
          <w:szCs w:val="24"/>
          <w:lang w:val="it-IT"/>
        </w:rPr>
        <w:t>Il presente report presenta i risultati del monitoraggio dell’esperienza di integrazione delle risorse dedicate alla formazione delle imprese e dei lavoratori promossa dalla Regione Emilia Romagna, che ha stretto accordi con alcuni Fondi paritetici interprofessionali interessati alla sperimentazione. In ordine di tempo si tratta della quarta sperimentazione avviata sul territorio nazionale su questo tema a partire dal 2009, preceduta o affiancata dalla Regione Toscana, della Provincia di Genova e della Regione Lombardia. Il testo è pertanto anche l’occasione di ripercorrere in sintesi le principali caratteristiche che hanno contraddistinto le sperimentazioni di integrazione. In particolare nel primo capitolo si fa il punto sulla normativa nazionale che ha guidato i processi di integrazione, evidenziando quale siano i limiti e le opportunità del sistema. Inoltre si descrive la genesi e le motivazioni del modello di integrazione messo in campo dalla Regione Emilia Romagna. Il secondo capitolo tratta in modo specifico del lavoro di monitoraggio qualitativo dell’esperienza regionale attraverso il resoconto dei casi studio e le prospettive di sviluppo.</w:t>
      </w:r>
    </w:p>
    <w:p w14:paraId="4BD2D948" w14:textId="77777777" w:rsidR="00CF02E3" w:rsidRPr="00CF02E3" w:rsidRDefault="00CF02E3" w:rsidP="00CF02E3">
      <w:pPr>
        <w:rPr>
          <w:rFonts w:asciiTheme="minorHAnsi" w:hAnsiTheme="minorHAnsi" w:cstheme="minorHAnsi"/>
          <w:b/>
          <w:bCs/>
          <w:iCs/>
          <w:sz w:val="24"/>
          <w:szCs w:val="24"/>
          <w:lang w:val="it-IT"/>
        </w:rPr>
      </w:pPr>
    </w:p>
    <w:p w14:paraId="38967D95" w14:textId="77777777" w:rsidR="00CF02E3" w:rsidRPr="00CF02E3" w:rsidRDefault="00CF02E3" w:rsidP="00CF02E3">
      <w:pPr>
        <w:rPr>
          <w:rFonts w:asciiTheme="minorHAnsi" w:hAnsiTheme="minorHAnsi" w:cstheme="minorHAnsi"/>
          <w:bCs/>
          <w:iCs/>
          <w:sz w:val="24"/>
          <w:szCs w:val="24"/>
          <w:lang w:val="it-IT"/>
        </w:rPr>
      </w:pPr>
    </w:p>
    <w:p w14:paraId="1CE0B37A" w14:textId="77777777" w:rsidR="00CF02E3" w:rsidRPr="00CF02E3" w:rsidRDefault="00CF02E3" w:rsidP="00CF02E3">
      <w:pPr>
        <w:rPr>
          <w:rFonts w:asciiTheme="minorHAnsi" w:hAnsiTheme="minorHAnsi" w:cstheme="minorHAnsi"/>
          <w:bCs/>
          <w:iCs/>
          <w:sz w:val="24"/>
          <w:szCs w:val="24"/>
          <w:lang w:val="it-IT"/>
        </w:rPr>
      </w:pPr>
    </w:p>
    <w:p w14:paraId="5D749E76" w14:textId="77777777" w:rsidR="00CF02E3" w:rsidRPr="00CF02E3" w:rsidRDefault="00CF02E3" w:rsidP="00CF02E3">
      <w:pPr>
        <w:rPr>
          <w:rFonts w:asciiTheme="minorHAnsi" w:hAnsiTheme="minorHAnsi" w:cstheme="minorHAnsi"/>
          <w:bCs/>
          <w:iCs/>
          <w:sz w:val="24"/>
          <w:szCs w:val="24"/>
          <w:lang w:val="it-IT"/>
        </w:rPr>
      </w:pPr>
    </w:p>
    <w:p w14:paraId="54083DFC" w14:textId="77777777" w:rsidR="00CF02E3" w:rsidRPr="00CF02E3" w:rsidRDefault="00CF02E3" w:rsidP="00CF02E3">
      <w:pPr>
        <w:rPr>
          <w:rFonts w:asciiTheme="minorHAnsi" w:hAnsiTheme="minorHAnsi" w:cstheme="minorHAnsi"/>
          <w:bCs/>
          <w:iCs/>
          <w:sz w:val="24"/>
          <w:szCs w:val="24"/>
          <w:lang w:val="it-IT"/>
        </w:rPr>
      </w:pPr>
    </w:p>
    <w:p w14:paraId="300A267A" w14:textId="77777777" w:rsidR="00CF02E3" w:rsidRPr="00CF02E3" w:rsidRDefault="00CF02E3" w:rsidP="00CF02E3">
      <w:pPr>
        <w:rPr>
          <w:rFonts w:asciiTheme="minorHAnsi" w:hAnsiTheme="minorHAnsi" w:cstheme="minorHAnsi"/>
          <w:bCs/>
          <w:iCs/>
          <w:sz w:val="24"/>
          <w:szCs w:val="24"/>
          <w:lang w:val="it-IT"/>
        </w:rPr>
      </w:pPr>
    </w:p>
    <w:p w14:paraId="7420C761" w14:textId="77777777" w:rsidR="00CF02E3" w:rsidRPr="00CF02E3" w:rsidRDefault="00CF02E3" w:rsidP="00CF02E3">
      <w:pPr>
        <w:rPr>
          <w:rFonts w:asciiTheme="minorHAnsi" w:hAnsiTheme="minorHAnsi" w:cstheme="minorHAnsi"/>
          <w:b/>
          <w:bCs/>
          <w:iCs/>
          <w:sz w:val="24"/>
          <w:szCs w:val="24"/>
          <w:lang w:val="it-IT"/>
        </w:rPr>
      </w:pPr>
    </w:p>
    <w:p w14:paraId="4BFCDC0D" w14:textId="77777777" w:rsidR="00CF02E3" w:rsidRPr="00CF02E3" w:rsidRDefault="00CF02E3" w:rsidP="00CF02E3">
      <w:pPr>
        <w:rPr>
          <w:rFonts w:asciiTheme="minorHAnsi" w:hAnsiTheme="minorHAnsi" w:cstheme="minorHAnsi"/>
          <w:b/>
          <w:bCs/>
          <w:iCs/>
          <w:sz w:val="24"/>
          <w:szCs w:val="24"/>
          <w:lang w:val="it-IT"/>
        </w:rPr>
      </w:pPr>
    </w:p>
    <w:p w14:paraId="7FA24CE0" w14:textId="77777777" w:rsidR="00CF02E3" w:rsidRPr="00CF02E3" w:rsidRDefault="00CF02E3" w:rsidP="00CF02E3">
      <w:pPr>
        <w:rPr>
          <w:rFonts w:asciiTheme="minorHAnsi" w:hAnsiTheme="minorHAnsi" w:cstheme="minorHAnsi"/>
          <w:b/>
          <w:bCs/>
          <w:iCs/>
          <w:sz w:val="24"/>
          <w:szCs w:val="24"/>
          <w:lang w:val="it-IT"/>
        </w:rPr>
      </w:pPr>
    </w:p>
    <w:p w14:paraId="2AEB57B9" w14:textId="77777777" w:rsidR="00CF02E3" w:rsidRPr="00CF02E3" w:rsidRDefault="00CF02E3" w:rsidP="00CF02E3">
      <w:pPr>
        <w:rPr>
          <w:rFonts w:asciiTheme="minorHAnsi" w:hAnsiTheme="minorHAnsi" w:cstheme="minorHAnsi"/>
          <w:bCs/>
          <w:iCs/>
          <w:sz w:val="24"/>
          <w:szCs w:val="24"/>
          <w:lang w:val="it-IT"/>
        </w:rPr>
      </w:pPr>
    </w:p>
    <w:p w14:paraId="06B65F74" w14:textId="77777777" w:rsidR="00CF02E3" w:rsidRPr="00CF02E3" w:rsidRDefault="00CF02E3" w:rsidP="00CF02E3">
      <w:pPr>
        <w:rPr>
          <w:rFonts w:asciiTheme="minorHAnsi" w:hAnsiTheme="minorHAnsi" w:cstheme="minorHAnsi"/>
          <w:b/>
          <w:bCs/>
          <w:iCs/>
          <w:sz w:val="24"/>
          <w:szCs w:val="24"/>
          <w:lang w:val="it-IT"/>
        </w:rPr>
      </w:pPr>
    </w:p>
    <w:p w14:paraId="0DFDBDA9" w14:textId="77777777" w:rsidR="00CF02E3" w:rsidRPr="00CF02E3" w:rsidRDefault="00CF02E3" w:rsidP="00CF02E3">
      <w:pPr>
        <w:rPr>
          <w:rFonts w:asciiTheme="minorHAnsi" w:hAnsiTheme="minorHAnsi" w:cstheme="minorHAnsi"/>
          <w:b/>
          <w:bCs/>
          <w:iCs/>
          <w:sz w:val="24"/>
          <w:szCs w:val="24"/>
          <w:lang w:val="it-IT"/>
        </w:rPr>
      </w:pPr>
    </w:p>
    <w:p w14:paraId="4A5B4A98" w14:textId="77777777" w:rsidR="00CF02E3" w:rsidRPr="00CF02E3" w:rsidRDefault="00CF02E3" w:rsidP="00CF02E3">
      <w:pPr>
        <w:rPr>
          <w:rFonts w:asciiTheme="minorHAnsi" w:hAnsiTheme="minorHAnsi" w:cstheme="minorHAnsi"/>
          <w:b/>
          <w:bCs/>
          <w:iCs/>
          <w:sz w:val="24"/>
          <w:szCs w:val="24"/>
          <w:lang w:val="it-IT"/>
        </w:rPr>
      </w:pPr>
    </w:p>
    <w:p w14:paraId="0DEDB2C7" w14:textId="77777777" w:rsidR="001A1D8E" w:rsidRPr="001A1D8E" w:rsidRDefault="001A1D8E" w:rsidP="001A1D8E">
      <w:pPr>
        <w:rPr>
          <w:rFonts w:asciiTheme="minorHAnsi" w:hAnsiTheme="minorHAnsi" w:cstheme="minorHAnsi"/>
          <w:sz w:val="24"/>
          <w:szCs w:val="24"/>
          <w:lang w:val="it-IT"/>
        </w:rPr>
      </w:pPr>
    </w:p>
    <w:p w14:paraId="72F0407A" w14:textId="77777777" w:rsidR="001A1D8E" w:rsidRPr="001A1D8E" w:rsidRDefault="001A1D8E" w:rsidP="001A1D8E">
      <w:pPr>
        <w:rPr>
          <w:rStyle w:val="lbdttlbdttvallbdttvaltitolo"/>
          <w:rFonts w:asciiTheme="minorHAnsi" w:hAnsiTheme="minorHAnsi" w:cstheme="minorHAnsi"/>
          <w:sz w:val="24"/>
          <w:szCs w:val="24"/>
          <w:lang w:val="it-IT"/>
        </w:rPr>
      </w:pPr>
    </w:p>
    <w:p w14:paraId="775BDB55" w14:textId="269FD34D" w:rsidR="002743E7" w:rsidRPr="00CF02E3" w:rsidRDefault="002743E7" w:rsidP="001A1D8E">
      <w:pPr>
        <w:rPr>
          <w:rStyle w:val="lbdttlbdttvallbdttvaltitolo"/>
          <w:rFonts w:asciiTheme="minorHAnsi" w:hAnsiTheme="minorHAnsi" w:cstheme="minorHAnsi"/>
          <w:sz w:val="24"/>
          <w:szCs w:val="24"/>
          <w:lang w:val="it-IT"/>
        </w:rPr>
      </w:pPr>
    </w:p>
    <w:p w14:paraId="5C79E7BE" w14:textId="77777777" w:rsidR="002743E7" w:rsidRPr="00CF02E3" w:rsidRDefault="002743E7">
      <w:pPr>
        <w:spacing w:after="0"/>
        <w:contextualSpacing w:val="0"/>
        <w:jc w:val="left"/>
        <w:rPr>
          <w:rStyle w:val="lbdttlbdttvallbdttvaltitolo"/>
          <w:rFonts w:asciiTheme="minorHAnsi" w:hAnsiTheme="minorHAnsi" w:cstheme="minorHAnsi"/>
          <w:sz w:val="24"/>
          <w:szCs w:val="24"/>
          <w:lang w:val="it-IT"/>
        </w:rPr>
      </w:pPr>
      <w:r w:rsidRPr="00CF02E3">
        <w:rPr>
          <w:rStyle w:val="lbdttlbdttvallbdttvaltitolo"/>
          <w:rFonts w:asciiTheme="minorHAnsi" w:hAnsiTheme="minorHAnsi" w:cstheme="minorHAnsi"/>
          <w:sz w:val="24"/>
          <w:szCs w:val="24"/>
          <w:lang w:val="it-IT"/>
        </w:rPr>
        <w:br w:type="page"/>
      </w:r>
    </w:p>
    <w:p w14:paraId="5E4719D2" w14:textId="5AAC6AF2" w:rsidR="002743E7" w:rsidRPr="00CF02E3" w:rsidRDefault="002743E7">
      <w:pPr>
        <w:spacing w:after="0"/>
        <w:contextualSpacing w:val="0"/>
        <w:jc w:val="left"/>
        <w:rPr>
          <w:rStyle w:val="lbdttlbdttvallbdttvaltitolo"/>
          <w:rFonts w:asciiTheme="minorHAnsi" w:hAnsiTheme="minorHAnsi" w:cstheme="minorHAnsi"/>
          <w:sz w:val="24"/>
          <w:szCs w:val="24"/>
          <w:lang w:val="it-IT"/>
        </w:rPr>
      </w:pPr>
    </w:p>
    <w:p w14:paraId="1419055C" w14:textId="77777777" w:rsidR="00CD0DC9" w:rsidRPr="00CF02E3" w:rsidRDefault="00CD0DC9" w:rsidP="001A1D8E">
      <w:pPr>
        <w:rPr>
          <w:rStyle w:val="lbdttlbdttvallbdttvaltitolo"/>
          <w:rFonts w:asciiTheme="minorHAnsi" w:hAnsiTheme="minorHAnsi" w:cstheme="minorHAnsi"/>
          <w:sz w:val="24"/>
          <w:szCs w:val="24"/>
          <w:lang w:val="it-IT"/>
        </w:rPr>
      </w:pPr>
    </w:p>
    <w:p w14:paraId="1A9940FF" w14:textId="77777777" w:rsidR="003A7B4A" w:rsidRPr="00CF02E3" w:rsidRDefault="003A7B4A" w:rsidP="001A1D8E">
      <w:pPr>
        <w:rPr>
          <w:rStyle w:val="lbdttlbdttvallbdttvaltitolo"/>
          <w:rFonts w:asciiTheme="minorHAnsi" w:hAnsiTheme="minorHAnsi" w:cstheme="minorHAnsi"/>
          <w:sz w:val="24"/>
          <w:szCs w:val="24"/>
          <w:lang w:val="it-IT"/>
        </w:rPr>
      </w:pPr>
    </w:p>
    <w:p w14:paraId="045F282B" w14:textId="77777777" w:rsidR="003A7B4A" w:rsidRPr="00CF02E3" w:rsidRDefault="003A7B4A" w:rsidP="001A1D8E">
      <w:pPr>
        <w:rPr>
          <w:rStyle w:val="lbdttlbdttvallbdttvaltitolo"/>
          <w:rFonts w:asciiTheme="minorHAnsi" w:hAnsiTheme="minorHAnsi" w:cstheme="minorHAnsi"/>
          <w:sz w:val="24"/>
          <w:szCs w:val="24"/>
          <w:lang w:val="it-IT"/>
        </w:rPr>
      </w:pPr>
    </w:p>
    <w:p w14:paraId="5194AF92" w14:textId="77777777" w:rsidR="003A7B4A" w:rsidRPr="00CF02E3" w:rsidRDefault="003A7B4A" w:rsidP="001A1D8E">
      <w:pPr>
        <w:rPr>
          <w:rStyle w:val="lbdttlbdttvallbdttvaltitolo"/>
          <w:rFonts w:asciiTheme="minorHAnsi" w:hAnsiTheme="minorHAnsi" w:cstheme="minorHAnsi"/>
          <w:sz w:val="24"/>
          <w:szCs w:val="24"/>
          <w:lang w:val="it-IT"/>
        </w:rPr>
      </w:pPr>
    </w:p>
    <w:p w14:paraId="5020457C" w14:textId="77777777" w:rsidR="003A7B4A" w:rsidRPr="00CF02E3" w:rsidRDefault="003A7B4A" w:rsidP="001A1D8E">
      <w:pPr>
        <w:rPr>
          <w:rStyle w:val="lbdttlbdttvallbdttvaltitolo"/>
          <w:rFonts w:asciiTheme="minorHAnsi" w:hAnsiTheme="minorHAnsi" w:cstheme="minorHAnsi"/>
          <w:sz w:val="24"/>
          <w:szCs w:val="24"/>
          <w:lang w:val="it-IT"/>
        </w:rPr>
      </w:pPr>
    </w:p>
    <w:p w14:paraId="011690E6" w14:textId="77777777" w:rsidR="003A7B4A" w:rsidRPr="00CF02E3" w:rsidRDefault="003A7B4A" w:rsidP="001A1D8E">
      <w:pPr>
        <w:rPr>
          <w:rStyle w:val="lbdttlbdttvallbdttvaltitolo"/>
          <w:rFonts w:asciiTheme="minorHAnsi" w:hAnsiTheme="minorHAnsi" w:cstheme="minorHAnsi"/>
          <w:sz w:val="24"/>
          <w:szCs w:val="24"/>
          <w:lang w:val="it-IT"/>
        </w:rPr>
      </w:pPr>
    </w:p>
    <w:p w14:paraId="59C17BC7" w14:textId="77777777" w:rsidR="003A7B4A" w:rsidRPr="00CF02E3" w:rsidRDefault="003A7B4A" w:rsidP="001A1D8E">
      <w:pPr>
        <w:rPr>
          <w:rStyle w:val="lbdttlbdttvallbdttvaltitolo"/>
          <w:rFonts w:asciiTheme="minorHAnsi" w:hAnsiTheme="minorHAnsi" w:cstheme="minorHAnsi"/>
          <w:sz w:val="24"/>
          <w:szCs w:val="24"/>
          <w:lang w:val="it-IT"/>
        </w:rPr>
      </w:pPr>
    </w:p>
    <w:p w14:paraId="6EB67249" w14:textId="77777777" w:rsidR="003A7B4A" w:rsidRPr="00CF02E3" w:rsidRDefault="003A7B4A" w:rsidP="001A1D8E">
      <w:pPr>
        <w:rPr>
          <w:rStyle w:val="lbdttlbdttvallbdttvaltitolo"/>
          <w:rFonts w:asciiTheme="minorHAnsi" w:hAnsiTheme="minorHAnsi" w:cstheme="minorHAnsi"/>
          <w:sz w:val="24"/>
          <w:szCs w:val="24"/>
          <w:lang w:val="it-IT"/>
        </w:rPr>
      </w:pPr>
    </w:p>
    <w:p w14:paraId="684B3C86" w14:textId="77777777" w:rsidR="003A7B4A" w:rsidRPr="00CF02E3" w:rsidRDefault="003A7B4A" w:rsidP="001A1D8E">
      <w:pPr>
        <w:rPr>
          <w:rStyle w:val="lbdttlbdttvallbdttvaltitolo"/>
          <w:rFonts w:asciiTheme="minorHAnsi" w:hAnsiTheme="minorHAnsi" w:cstheme="minorHAnsi"/>
          <w:sz w:val="24"/>
          <w:szCs w:val="24"/>
          <w:lang w:val="it-IT"/>
        </w:rPr>
      </w:pPr>
    </w:p>
    <w:p w14:paraId="295DD100" w14:textId="77777777" w:rsidR="003A7B4A" w:rsidRPr="00CF02E3" w:rsidRDefault="003A7B4A" w:rsidP="001A1D8E">
      <w:pPr>
        <w:rPr>
          <w:rStyle w:val="lbdttlbdttvallbdttvaltitolo"/>
          <w:rFonts w:asciiTheme="minorHAnsi" w:hAnsiTheme="minorHAnsi" w:cstheme="minorHAnsi"/>
          <w:sz w:val="24"/>
          <w:szCs w:val="24"/>
          <w:lang w:val="it-IT"/>
        </w:rPr>
      </w:pPr>
    </w:p>
    <w:p w14:paraId="0F27AB32" w14:textId="77777777" w:rsidR="003A7B4A" w:rsidRPr="00CF02E3" w:rsidRDefault="003A7B4A" w:rsidP="001A1D8E">
      <w:pPr>
        <w:rPr>
          <w:rStyle w:val="lbdttlbdttvallbdttvaltitolo"/>
          <w:rFonts w:asciiTheme="minorHAnsi" w:hAnsiTheme="minorHAnsi" w:cstheme="minorHAnsi"/>
          <w:sz w:val="24"/>
          <w:szCs w:val="24"/>
          <w:lang w:val="it-IT"/>
        </w:rPr>
      </w:pPr>
    </w:p>
    <w:p w14:paraId="7FDF477F" w14:textId="77777777" w:rsidR="003A7B4A" w:rsidRPr="00CF02E3" w:rsidRDefault="003A7B4A" w:rsidP="001A1D8E">
      <w:pPr>
        <w:rPr>
          <w:rStyle w:val="lbdttlbdttvallbdttvaltitolo"/>
          <w:rFonts w:asciiTheme="minorHAnsi" w:hAnsiTheme="minorHAnsi" w:cstheme="minorHAnsi"/>
          <w:sz w:val="24"/>
          <w:szCs w:val="24"/>
          <w:lang w:val="it-IT"/>
        </w:rPr>
      </w:pPr>
    </w:p>
    <w:p w14:paraId="33C6C507" w14:textId="77777777" w:rsidR="003A7B4A" w:rsidRPr="00CF02E3" w:rsidRDefault="003A7B4A" w:rsidP="001A1D8E">
      <w:pPr>
        <w:rPr>
          <w:rStyle w:val="lbdttlbdttvallbdttvaltitolo"/>
          <w:rFonts w:asciiTheme="minorHAnsi" w:hAnsiTheme="minorHAnsi" w:cstheme="minorHAnsi"/>
          <w:sz w:val="24"/>
          <w:szCs w:val="24"/>
          <w:lang w:val="it-IT"/>
        </w:rPr>
      </w:pPr>
    </w:p>
    <w:p w14:paraId="19FA48A3" w14:textId="77777777" w:rsidR="00CD0DC9" w:rsidRPr="001A1D8E" w:rsidRDefault="00CD0DC9" w:rsidP="001A1D8E">
      <w:pPr>
        <w:rPr>
          <w:rStyle w:val="lbdttlbdttvallbdttvaltitolo"/>
          <w:rFonts w:asciiTheme="minorHAnsi" w:hAnsiTheme="minorHAnsi" w:cstheme="minorHAnsi"/>
          <w:sz w:val="24"/>
          <w:szCs w:val="24"/>
          <w:lang w:val="it-IT"/>
        </w:rPr>
      </w:pPr>
    </w:p>
    <w:p w14:paraId="4F18E35C" w14:textId="5EEB041A" w:rsidR="00FC385B" w:rsidRDefault="00FC385B" w:rsidP="00FC385B">
      <w:pPr>
        <w:pStyle w:val="Titolo1"/>
        <w:rPr>
          <w:lang w:val="it-IT"/>
        </w:rPr>
      </w:pPr>
    </w:p>
    <w:p w14:paraId="51F2FE1B" w14:textId="18B9BFE0" w:rsidR="00720522" w:rsidRDefault="000C443A" w:rsidP="00E5002D">
      <w:r>
        <w:rPr>
          <w:noProof/>
          <w:lang w:val="it-IT" w:eastAsia="it-IT"/>
        </w:rPr>
        <mc:AlternateContent>
          <mc:Choice Requires="wps">
            <w:drawing>
              <wp:anchor distT="0" distB="0" distL="114300" distR="114300" simplePos="0" relativeHeight="251679744" behindDoc="0" locked="0" layoutInCell="1" allowOverlap="1" wp14:anchorId="78B17A2E" wp14:editId="3A48DFAD">
                <wp:simplePos x="0" y="0"/>
                <wp:positionH relativeFrom="column">
                  <wp:posOffset>-3810</wp:posOffset>
                </wp:positionH>
                <wp:positionV relativeFrom="page">
                  <wp:posOffset>6505575</wp:posOffset>
                </wp:positionV>
                <wp:extent cx="5368290" cy="2676525"/>
                <wp:effectExtent l="0" t="0" r="0" b="0"/>
                <wp:wrapTight wrapText="bothSides">
                  <wp:wrapPolygon edited="0">
                    <wp:start x="0" y="0"/>
                    <wp:lineTo x="21600" y="0"/>
                    <wp:lineTo x="21600" y="21600"/>
                    <wp:lineTo x="0" y="21600"/>
                    <wp:lineTo x="0" y="0"/>
                  </wp:wrapPolygon>
                </wp:wrapTight>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8290" cy="267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EA691" w14:textId="308C66BD" w:rsidR="003B3B2C" w:rsidRPr="00394DFC" w:rsidRDefault="003B3B2C" w:rsidP="003B3B2C">
                            <w:pPr>
                              <w:pStyle w:val="Paragrafobase"/>
                              <w:suppressAutoHyphens/>
                              <w:jc w:val="both"/>
                              <w:rPr>
                                <w:rFonts w:ascii="Helvetica 35 Thin" w:hAnsi="Helvetica 35 Thin" w:cs="Helvetica 35 Thin"/>
                                <w:i/>
                                <w:iCs/>
                                <w:color w:val="939597"/>
                                <w:lang w:val="it-IT"/>
                              </w:rPr>
                            </w:pPr>
                            <w:r w:rsidRPr="00394DFC">
                              <w:rPr>
                                <w:rFonts w:ascii="Helvetica 55 Roman" w:hAnsi="Helvetica 55 Roman" w:cs="Helvetica 55 Roman"/>
                                <w:i/>
                                <w:iCs/>
                                <w:sz w:val="22"/>
                                <w:szCs w:val="22"/>
                                <w:lang w:val="it-IT"/>
                              </w:rPr>
                              <w:t>L’Isfol</w:t>
                            </w:r>
                            <w:r w:rsidR="00AE6597">
                              <w:rPr>
                                <w:rFonts w:ascii="Helvetica 55 Roman" w:hAnsi="Helvetica 55 Roman" w:cs="Helvetica 55 Roman"/>
                                <w:i/>
                                <w:iCs/>
                                <w:sz w:val="22"/>
                                <w:szCs w:val="22"/>
                                <w:lang w:val="it-IT"/>
                              </w:rPr>
                              <w:t>,</w:t>
                            </w:r>
                            <w:r w:rsidRPr="00394DFC">
                              <w:rPr>
                                <w:rFonts w:ascii="Helvetica 55 Roman" w:hAnsi="Helvetica 55 Roman" w:cs="Helvetica 55 Roman"/>
                                <w:i/>
                                <w:iCs/>
                                <w:sz w:val="22"/>
                                <w:szCs w:val="22"/>
                                <w:lang w:val="it-IT"/>
                              </w:rPr>
                              <w:t xml:space="preserve"> Ente nazionale di ricerca, opera nel campo della formazione, del lavoro e delle politiche sociali</w:t>
                            </w:r>
                            <w:r w:rsidR="00AE6597">
                              <w:rPr>
                                <w:rFonts w:ascii="Helvetica 55 Roman" w:hAnsi="Helvetica 55 Roman" w:cs="Helvetica 55 Roman"/>
                                <w:i/>
                                <w:iCs/>
                                <w:sz w:val="22"/>
                                <w:szCs w:val="22"/>
                                <w:lang w:val="it-IT"/>
                              </w:rPr>
                              <w:t xml:space="preserve"> al fine di contribuire alla crescita dell’occupazione, al</w:t>
                            </w:r>
                            <w:r w:rsidR="00E925B0">
                              <w:rPr>
                                <w:rFonts w:ascii="Helvetica 55 Roman" w:hAnsi="Helvetica 55 Roman" w:cs="Helvetica 55 Roman"/>
                                <w:i/>
                                <w:iCs/>
                                <w:sz w:val="22"/>
                                <w:szCs w:val="22"/>
                                <w:lang w:val="it-IT"/>
                              </w:rPr>
                              <w:t xml:space="preserve"> miglioramento professionale dei lavoratori, all’inclusione sociale e allo sviluppo locale. </w:t>
                            </w:r>
                            <w:r w:rsidR="00DA6D85">
                              <w:rPr>
                                <w:rFonts w:ascii="Helvetica 55 Roman" w:hAnsi="Helvetica 55 Roman" w:cs="Helvetica 55 Roman"/>
                                <w:i/>
                                <w:iCs/>
                                <w:sz w:val="22"/>
                                <w:szCs w:val="22"/>
                                <w:lang w:val="it-IT"/>
                              </w:rPr>
                              <w:t>Sottoposto alla vigilanza del Ministero del Lavoro e delle Politiche Sociali, l</w:t>
                            </w:r>
                            <w:r w:rsidR="00E925B0">
                              <w:rPr>
                                <w:rFonts w:ascii="Helvetica 55 Roman" w:hAnsi="Helvetica 55 Roman" w:cs="Helvetica 55 Roman"/>
                                <w:i/>
                                <w:iCs/>
                                <w:sz w:val="22"/>
                                <w:szCs w:val="22"/>
                                <w:lang w:val="it-IT"/>
                              </w:rPr>
                              <w:t>’Isfol svolge e promuove attività di studio, ricerca, sperimentazione, documentazione e informazione</w:t>
                            </w:r>
                            <w:r w:rsidR="00157284">
                              <w:rPr>
                                <w:rFonts w:ascii="Helvetica 55 Roman" w:hAnsi="Helvetica 55 Roman" w:cs="Helvetica 55 Roman"/>
                                <w:i/>
                                <w:iCs/>
                                <w:sz w:val="22"/>
                                <w:szCs w:val="22"/>
                                <w:lang w:val="it-IT"/>
                              </w:rPr>
                              <w:t xml:space="preserve">, fornendo supporto </w:t>
                            </w:r>
                            <w:r w:rsidR="00DA6D85">
                              <w:rPr>
                                <w:rFonts w:ascii="Helvetica 55 Roman" w:hAnsi="Helvetica 55 Roman" w:cs="Helvetica 55 Roman"/>
                                <w:i/>
                                <w:iCs/>
                                <w:sz w:val="22"/>
                                <w:szCs w:val="22"/>
                                <w:lang w:val="it-IT"/>
                              </w:rPr>
                              <w:t>tecnico-scientifico ai</w:t>
                            </w:r>
                            <w:r w:rsidR="00157284">
                              <w:rPr>
                                <w:rFonts w:ascii="Helvetica 55 Roman" w:hAnsi="Helvetica 55 Roman" w:cs="Helvetica 55 Roman"/>
                                <w:i/>
                                <w:iCs/>
                                <w:sz w:val="22"/>
                                <w:szCs w:val="22"/>
                                <w:lang w:val="it-IT"/>
                              </w:rPr>
                              <w:t xml:space="preserve"> </w:t>
                            </w:r>
                            <w:r w:rsidR="00606009">
                              <w:rPr>
                                <w:rFonts w:ascii="Helvetica 55 Roman" w:hAnsi="Helvetica 55 Roman" w:cs="Helvetica 55 Roman"/>
                                <w:i/>
                                <w:iCs/>
                                <w:sz w:val="22"/>
                                <w:szCs w:val="22"/>
                                <w:lang w:val="it-IT"/>
                              </w:rPr>
                              <w:t xml:space="preserve">Ministeri, al </w:t>
                            </w:r>
                            <w:r w:rsidR="00157284">
                              <w:rPr>
                                <w:rFonts w:ascii="Helvetica 55 Roman" w:hAnsi="Helvetica 55 Roman" w:cs="Helvetica 55 Roman"/>
                                <w:i/>
                                <w:iCs/>
                                <w:sz w:val="22"/>
                                <w:szCs w:val="22"/>
                                <w:lang w:val="it-IT"/>
                              </w:rPr>
                              <w:t xml:space="preserve">Parlamento, alle regioni, agli enti locali e </w:t>
                            </w:r>
                            <w:r w:rsidR="00606009">
                              <w:rPr>
                                <w:rFonts w:ascii="Helvetica 55 Roman" w:hAnsi="Helvetica 55 Roman" w:cs="Helvetica 55 Roman"/>
                                <w:i/>
                                <w:iCs/>
                                <w:sz w:val="22"/>
                                <w:szCs w:val="22"/>
                                <w:lang w:val="it-IT"/>
                              </w:rPr>
                              <w:t xml:space="preserve">alle </w:t>
                            </w:r>
                            <w:r w:rsidR="00157284">
                              <w:rPr>
                                <w:rFonts w:ascii="Helvetica 55 Roman" w:hAnsi="Helvetica 55 Roman" w:cs="Helvetica 55 Roman"/>
                                <w:i/>
                                <w:iCs/>
                                <w:sz w:val="22"/>
                                <w:szCs w:val="22"/>
                                <w:lang w:val="it-IT"/>
                              </w:rPr>
                              <w:t>altre istituzioni</w:t>
                            </w:r>
                            <w:r w:rsidR="00606009">
                              <w:rPr>
                                <w:rFonts w:ascii="Helvetica 55 Roman" w:hAnsi="Helvetica 55 Roman" w:cs="Helvetica 55 Roman"/>
                                <w:i/>
                                <w:iCs/>
                                <w:sz w:val="22"/>
                                <w:szCs w:val="22"/>
                                <w:lang w:val="it-IT"/>
                              </w:rPr>
                              <w:t>,</w:t>
                            </w:r>
                            <w:r w:rsidR="00157284">
                              <w:rPr>
                                <w:rFonts w:ascii="Helvetica 55 Roman" w:hAnsi="Helvetica 55 Roman" w:cs="Helvetica 55 Roman"/>
                                <w:i/>
                                <w:iCs/>
                                <w:sz w:val="22"/>
                                <w:szCs w:val="22"/>
                                <w:lang w:val="it-IT"/>
                              </w:rPr>
                              <w:t xml:space="preserve"> sulle politiche e sui si</w:t>
                            </w:r>
                            <w:r w:rsidR="00606009">
                              <w:rPr>
                                <w:rFonts w:ascii="Helvetica 55 Roman" w:hAnsi="Helvetica 55 Roman" w:cs="Helvetica 55 Roman"/>
                                <w:i/>
                                <w:iCs/>
                                <w:sz w:val="22"/>
                                <w:szCs w:val="22"/>
                                <w:lang w:val="it-IT"/>
                              </w:rPr>
                              <w:t>s</w:t>
                            </w:r>
                            <w:r w:rsidR="00157284">
                              <w:rPr>
                                <w:rFonts w:ascii="Helvetica 55 Roman" w:hAnsi="Helvetica 55 Roman" w:cs="Helvetica 55 Roman"/>
                                <w:i/>
                                <w:iCs/>
                                <w:sz w:val="22"/>
                                <w:szCs w:val="22"/>
                                <w:lang w:val="it-IT"/>
                              </w:rPr>
                              <w:t>temi della formazione e apprendimento lungo tutto l’arco della vita</w:t>
                            </w:r>
                            <w:r w:rsidR="00606009">
                              <w:rPr>
                                <w:rFonts w:ascii="Helvetica 55 Roman" w:hAnsi="Helvetica 55 Roman" w:cs="Helvetica 55 Roman"/>
                                <w:i/>
                                <w:iCs/>
                                <w:sz w:val="22"/>
                                <w:szCs w:val="22"/>
                                <w:lang w:val="it-IT"/>
                              </w:rPr>
                              <w:t xml:space="preserve"> e</w:t>
                            </w:r>
                            <w:r w:rsidR="00DA6D85">
                              <w:rPr>
                                <w:rFonts w:ascii="Helvetica 55 Roman" w:hAnsi="Helvetica 55 Roman" w:cs="Helvetica 55 Roman"/>
                                <w:i/>
                                <w:iCs/>
                                <w:sz w:val="22"/>
                                <w:szCs w:val="22"/>
                                <w:lang w:val="it-IT"/>
                              </w:rPr>
                              <w:t xml:space="preserve"> </w:t>
                            </w:r>
                            <w:r w:rsidR="00606009">
                              <w:rPr>
                                <w:rFonts w:ascii="Helvetica 55 Roman" w:hAnsi="Helvetica 55 Roman" w:cs="Helvetica 55 Roman"/>
                                <w:i/>
                                <w:iCs/>
                                <w:sz w:val="22"/>
                                <w:szCs w:val="22"/>
                                <w:lang w:val="it-IT"/>
                              </w:rPr>
                              <w:t xml:space="preserve">in materia di </w:t>
                            </w:r>
                            <w:r w:rsidR="00DA6D85">
                              <w:rPr>
                                <w:rFonts w:ascii="Helvetica 55 Roman" w:hAnsi="Helvetica 55 Roman" w:cs="Helvetica 55 Roman"/>
                                <w:i/>
                                <w:iCs/>
                                <w:sz w:val="22"/>
                                <w:szCs w:val="22"/>
                                <w:lang w:val="it-IT"/>
                              </w:rPr>
                              <w:t>mercato del lavoro e inclusione sociale.</w:t>
                            </w:r>
                            <w:r w:rsidRPr="00394DFC">
                              <w:rPr>
                                <w:rFonts w:ascii="Helvetica 55 Roman" w:hAnsi="Helvetica 55 Roman" w:cs="Helvetica 55 Roman"/>
                                <w:i/>
                                <w:iCs/>
                                <w:sz w:val="22"/>
                                <w:szCs w:val="22"/>
                                <w:lang w:val="it-IT"/>
                              </w:rPr>
                              <w:t xml:space="preserve"> </w:t>
                            </w:r>
                            <w:r w:rsidR="00606009">
                              <w:rPr>
                                <w:rFonts w:ascii="Helvetica 55 Roman" w:hAnsi="Helvetica 55 Roman" w:cs="Helvetica 55 Roman"/>
                                <w:i/>
                                <w:iCs/>
                                <w:sz w:val="22"/>
                                <w:szCs w:val="22"/>
                                <w:lang w:val="it-IT"/>
                              </w:rPr>
                              <w:t>F</w:t>
                            </w:r>
                            <w:r w:rsidRPr="00394DFC">
                              <w:rPr>
                                <w:rFonts w:ascii="Helvetica 55 Roman" w:hAnsi="Helvetica 55 Roman" w:cs="Helvetica 55 Roman"/>
                                <w:i/>
                                <w:iCs/>
                                <w:sz w:val="22"/>
                                <w:szCs w:val="22"/>
                                <w:lang w:val="it-IT"/>
                              </w:rPr>
                              <w:t xml:space="preserve">a parte del Sistema </w:t>
                            </w:r>
                            <w:r w:rsidR="00AE6597">
                              <w:rPr>
                                <w:rFonts w:ascii="Helvetica 55 Roman" w:hAnsi="Helvetica 55 Roman" w:cs="Helvetica 55 Roman"/>
                                <w:i/>
                                <w:iCs/>
                                <w:sz w:val="22"/>
                                <w:szCs w:val="22"/>
                                <w:lang w:val="it-IT"/>
                              </w:rPr>
                              <w:t>s</w:t>
                            </w:r>
                            <w:r w:rsidRPr="00394DFC">
                              <w:rPr>
                                <w:rFonts w:ascii="Helvetica 55 Roman" w:hAnsi="Helvetica 55 Roman" w:cs="Helvetica 55 Roman"/>
                                <w:i/>
                                <w:iCs/>
                                <w:sz w:val="22"/>
                                <w:szCs w:val="22"/>
                                <w:lang w:val="it-IT"/>
                              </w:rPr>
                              <w:t xml:space="preserve">tatistico </w:t>
                            </w:r>
                            <w:r w:rsidR="00AE6597">
                              <w:rPr>
                                <w:rFonts w:ascii="Helvetica 55 Roman" w:hAnsi="Helvetica 55 Roman" w:cs="Helvetica 55 Roman"/>
                                <w:i/>
                                <w:iCs/>
                                <w:sz w:val="22"/>
                                <w:szCs w:val="22"/>
                                <w:lang w:val="it-IT"/>
                              </w:rPr>
                              <w:t>n</w:t>
                            </w:r>
                            <w:r w:rsidRPr="00394DFC">
                              <w:rPr>
                                <w:rFonts w:ascii="Helvetica 55 Roman" w:hAnsi="Helvetica 55 Roman" w:cs="Helvetica 55 Roman"/>
                                <w:i/>
                                <w:iCs/>
                                <w:sz w:val="22"/>
                                <w:szCs w:val="22"/>
                                <w:lang w:val="it-IT"/>
                              </w:rPr>
                              <w:t>azionale</w:t>
                            </w:r>
                            <w:r w:rsidR="00606009">
                              <w:rPr>
                                <w:rFonts w:ascii="Helvetica 55 Roman" w:hAnsi="Helvetica 55 Roman" w:cs="Helvetica 55 Roman"/>
                                <w:i/>
                                <w:iCs/>
                                <w:sz w:val="22"/>
                                <w:szCs w:val="22"/>
                                <w:lang w:val="it-IT"/>
                              </w:rPr>
                              <w:t xml:space="preserve"> e collabora con le istituzioni europee. S</w:t>
                            </w:r>
                            <w:r w:rsidRPr="00394DFC">
                              <w:rPr>
                                <w:rFonts w:ascii="Helvetica 55 Roman" w:hAnsi="Helvetica 55 Roman" w:cs="Helvetica 55 Roman"/>
                                <w:i/>
                                <w:iCs/>
                                <w:sz w:val="22"/>
                                <w:szCs w:val="22"/>
                                <w:lang w:val="it-IT"/>
                              </w:rPr>
                              <w:t xml:space="preserve">volge il ruolo di assistenza </w:t>
                            </w:r>
                            <w:r w:rsidR="00606009">
                              <w:rPr>
                                <w:rFonts w:ascii="Helvetica 55 Roman" w:hAnsi="Helvetica 55 Roman" w:cs="Helvetica 55 Roman"/>
                                <w:i/>
                                <w:iCs/>
                                <w:sz w:val="22"/>
                                <w:szCs w:val="22"/>
                                <w:lang w:val="it-IT"/>
                              </w:rPr>
                              <w:t xml:space="preserve">metodologica e </w:t>
                            </w:r>
                            <w:r w:rsidRPr="00394DFC">
                              <w:rPr>
                                <w:rFonts w:ascii="Helvetica 55 Roman" w:hAnsi="Helvetica 55 Roman" w:cs="Helvetica 55 Roman"/>
                                <w:i/>
                                <w:iCs/>
                                <w:sz w:val="22"/>
                                <w:szCs w:val="22"/>
                                <w:lang w:val="it-IT"/>
                              </w:rPr>
                              <w:t xml:space="preserve">scientifica per le azioni </w:t>
                            </w:r>
                            <w:r w:rsidR="00606009">
                              <w:rPr>
                                <w:rFonts w:ascii="Helvetica 55 Roman" w:hAnsi="Helvetica 55 Roman" w:cs="Helvetica 55 Roman"/>
                                <w:i/>
                                <w:iCs/>
                                <w:sz w:val="22"/>
                                <w:szCs w:val="22"/>
                                <w:lang w:val="it-IT"/>
                              </w:rPr>
                              <w:t xml:space="preserve">di sistema </w:t>
                            </w:r>
                            <w:r w:rsidRPr="00394DFC">
                              <w:rPr>
                                <w:rFonts w:ascii="Helvetica 55 Roman" w:hAnsi="Helvetica 55 Roman" w:cs="Helvetica 55 Roman"/>
                                <w:i/>
                                <w:iCs/>
                                <w:sz w:val="22"/>
                                <w:szCs w:val="22"/>
                                <w:lang w:val="it-IT"/>
                              </w:rPr>
                              <w:t>del Fondo sociale europeo</w:t>
                            </w:r>
                            <w:r w:rsidR="00606009">
                              <w:rPr>
                                <w:rFonts w:ascii="Helvetica 55 Roman" w:hAnsi="Helvetica 55 Roman" w:cs="Helvetica 55 Roman"/>
                                <w:i/>
                                <w:iCs/>
                                <w:sz w:val="22"/>
                                <w:szCs w:val="22"/>
                                <w:lang w:val="it-IT"/>
                              </w:rPr>
                              <w:t xml:space="preserve"> ed è </w:t>
                            </w:r>
                            <w:r w:rsidRPr="00394DFC">
                              <w:rPr>
                                <w:rFonts w:ascii="Helvetica 55 Roman" w:hAnsi="Helvetica 55 Roman" w:cs="Helvetica 55 Roman"/>
                                <w:i/>
                                <w:iCs/>
                                <w:sz w:val="22"/>
                                <w:szCs w:val="22"/>
                                <w:lang w:val="it-IT"/>
                              </w:rPr>
                              <w:t>Agenzia nazionale Lifelong Learning Programme, Programma settoriale Leonardo da Vinci.</w:t>
                            </w:r>
                          </w:p>
                          <w:p w14:paraId="3613FC1A" w14:textId="77777777" w:rsidR="00DF46D3" w:rsidRPr="00394DFC" w:rsidRDefault="00DF46D3">
                            <w:pPr>
                              <w:rPr>
                                <w:lang w:val="it-IT"/>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9" type="#_x0000_t202" style="position:absolute;left:0;text-align:left;margin-left:-.3pt;margin-top:512.25pt;width:422.7pt;height:210.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" filled="f" stroked="f">
                <v:textbox inset=",7.2pt,,7.2pt">
                  <w:txbxContent>
                    <w:p w14:paraId="3B7EA691" w14:textId="308C66BD" w:rsidR="003B3B2C" w:rsidRPr="00394DFC" w:rsidRDefault="003B3B2C" w:rsidP="003B3B2C">
                      <w:pPr>
                        <w:pStyle w:val="Paragrafobase"/>
                        <w:suppressAutoHyphens/>
                        <w:jc w:val="both"/>
                        <w:rPr>
                          <w:rFonts w:ascii="Helvetica 35 Thin" w:hAnsi="Helvetica 35 Thin" w:cs="Helvetica 35 Thin"/>
                          <w:i/>
                          <w:iCs/>
                          <w:color w:val="939597"/>
                          <w:lang w:val="it-IT"/>
                        </w:rPr>
                      </w:pPr>
                      <w:r w:rsidRPr="00394DFC">
                        <w:rPr>
                          <w:rFonts w:ascii="Helvetica 55 Roman" w:hAnsi="Helvetica 55 Roman" w:cs="Helvetica 55 Roman"/>
                          <w:i/>
                          <w:iCs/>
                          <w:sz w:val="22"/>
                          <w:szCs w:val="22"/>
                          <w:lang w:val="it-IT"/>
                        </w:rPr>
                        <w:t>L’Isfol</w:t>
                      </w:r>
                      <w:r w:rsidR="00AE6597">
                        <w:rPr>
                          <w:rFonts w:ascii="Helvetica 55 Roman" w:hAnsi="Helvetica 55 Roman" w:cs="Helvetica 55 Roman"/>
                          <w:i/>
                          <w:iCs/>
                          <w:sz w:val="22"/>
                          <w:szCs w:val="22"/>
                          <w:lang w:val="it-IT"/>
                        </w:rPr>
                        <w:t>,</w:t>
                      </w:r>
                      <w:r w:rsidRPr="00394DFC">
                        <w:rPr>
                          <w:rFonts w:ascii="Helvetica 55 Roman" w:hAnsi="Helvetica 55 Roman" w:cs="Helvetica 55 Roman"/>
                          <w:i/>
                          <w:iCs/>
                          <w:sz w:val="22"/>
                          <w:szCs w:val="22"/>
                          <w:lang w:val="it-IT"/>
                        </w:rPr>
                        <w:t xml:space="preserve"> Ente nazionale di ricerca, opera nel campo della formazione, del lavoro e delle politiche sociali</w:t>
                      </w:r>
                      <w:r w:rsidR="00AE6597">
                        <w:rPr>
                          <w:rFonts w:ascii="Helvetica 55 Roman" w:hAnsi="Helvetica 55 Roman" w:cs="Helvetica 55 Roman"/>
                          <w:i/>
                          <w:iCs/>
                          <w:sz w:val="22"/>
                          <w:szCs w:val="22"/>
                          <w:lang w:val="it-IT"/>
                        </w:rPr>
                        <w:t xml:space="preserve"> al fine di contribuire alla crescita dell’occupazione, al</w:t>
                      </w:r>
                      <w:r w:rsidR="00E925B0">
                        <w:rPr>
                          <w:rFonts w:ascii="Helvetica 55 Roman" w:hAnsi="Helvetica 55 Roman" w:cs="Helvetica 55 Roman"/>
                          <w:i/>
                          <w:iCs/>
                          <w:sz w:val="22"/>
                          <w:szCs w:val="22"/>
                          <w:lang w:val="it-IT"/>
                        </w:rPr>
                        <w:t xml:space="preserve"> miglioramento professionale dei lavoratori, all’inclusione sociale e allo sviluppo locale. </w:t>
                      </w:r>
                      <w:r w:rsidR="00DA6D85">
                        <w:rPr>
                          <w:rFonts w:ascii="Helvetica 55 Roman" w:hAnsi="Helvetica 55 Roman" w:cs="Helvetica 55 Roman"/>
                          <w:i/>
                          <w:iCs/>
                          <w:sz w:val="22"/>
                          <w:szCs w:val="22"/>
                          <w:lang w:val="it-IT"/>
                        </w:rPr>
                        <w:t>Sottoposto alla vigilanza del Ministero del Lavoro e delle Politiche Sociali, l</w:t>
                      </w:r>
                      <w:r w:rsidR="00E925B0">
                        <w:rPr>
                          <w:rFonts w:ascii="Helvetica 55 Roman" w:hAnsi="Helvetica 55 Roman" w:cs="Helvetica 55 Roman"/>
                          <w:i/>
                          <w:iCs/>
                          <w:sz w:val="22"/>
                          <w:szCs w:val="22"/>
                          <w:lang w:val="it-IT"/>
                        </w:rPr>
                        <w:t>’Isfol svolge e promuove attività di studio, ricerca, sperimentazione, documentazione e informazione</w:t>
                      </w:r>
                      <w:r w:rsidR="00157284">
                        <w:rPr>
                          <w:rFonts w:ascii="Helvetica 55 Roman" w:hAnsi="Helvetica 55 Roman" w:cs="Helvetica 55 Roman"/>
                          <w:i/>
                          <w:iCs/>
                          <w:sz w:val="22"/>
                          <w:szCs w:val="22"/>
                          <w:lang w:val="it-IT"/>
                        </w:rPr>
                        <w:t xml:space="preserve">, fornendo supporto </w:t>
                      </w:r>
                      <w:r w:rsidR="00DA6D85">
                        <w:rPr>
                          <w:rFonts w:ascii="Helvetica 55 Roman" w:hAnsi="Helvetica 55 Roman" w:cs="Helvetica 55 Roman"/>
                          <w:i/>
                          <w:iCs/>
                          <w:sz w:val="22"/>
                          <w:szCs w:val="22"/>
                          <w:lang w:val="it-IT"/>
                        </w:rPr>
                        <w:t>tecnico-scientifico ai</w:t>
                      </w:r>
                      <w:r w:rsidR="00157284">
                        <w:rPr>
                          <w:rFonts w:ascii="Helvetica 55 Roman" w:hAnsi="Helvetica 55 Roman" w:cs="Helvetica 55 Roman"/>
                          <w:i/>
                          <w:iCs/>
                          <w:sz w:val="22"/>
                          <w:szCs w:val="22"/>
                          <w:lang w:val="it-IT"/>
                        </w:rPr>
                        <w:t xml:space="preserve"> </w:t>
                      </w:r>
                      <w:r w:rsidR="00606009">
                        <w:rPr>
                          <w:rFonts w:ascii="Helvetica 55 Roman" w:hAnsi="Helvetica 55 Roman" w:cs="Helvetica 55 Roman"/>
                          <w:i/>
                          <w:iCs/>
                          <w:sz w:val="22"/>
                          <w:szCs w:val="22"/>
                          <w:lang w:val="it-IT"/>
                        </w:rPr>
                        <w:t xml:space="preserve">Ministeri, al </w:t>
                      </w:r>
                      <w:r w:rsidR="00157284">
                        <w:rPr>
                          <w:rFonts w:ascii="Helvetica 55 Roman" w:hAnsi="Helvetica 55 Roman" w:cs="Helvetica 55 Roman"/>
                          <w:i/>
                          <w:iCs/>
                          <w:sz w:val="22"/>
                          <w:szCs w:val="22"/>
                          <w:lang w:val="it-IT"/>
                        </w:rPr>
                        <w:t xml:space="preserve">Parlamento, alle regioni, agli enti locali e </w:t>
                      </w:r>
                      <w:r w:rsidR="00606009">
                        <w:rPr>
                          <w:rFonts w:ascii="Helvetica 55 Roman" w:hAnsi="Helvetica 55 Roman" w:cs="Helvetica 55 Roman"/>
                          <w:i/>
                          <w:iCs/>
                          <w:sz w:val="22"/>
                          <w:szCs w:val="22"/>
                          <w:lang w:val="it-IT"/>
                        </w:rPr>
                        <w:t xml:space="preserve">alle </w:t>
                      </w:r>
                      <w:r w:rsidR="00157284">
                        <w:rPr>
                          <w:rFonts w:ascii="Helvetica 55 Roman" w:hAnsi="Helvetica 55 Roman" w:cs="Helvetica 55 Roman"/>
                          <w:i/>
                          <w:iCs/>
                          <w:sz w:val="22"/>
                          <w:szCs w:val="22"/>
                          <w:lang w:val="it-IT"/>
                        </w:rPr>
                        <w:t>altre istituzioni</w:t>
                      </w:r>
                      <w:r w:rsidR="00606009">
                        <w:rPr>
                          <w:rFonts w:ascii="Helvetica 55 Roman" w:hAnsi="Helvetica 55 Roman" w:cs="Helvetica 55 Roman"/>
                          <w:i/>
                          <w:iCs/>
                          <w:sz w:val="22"/>
                          <w:szCs w:val="22"/>
                          <w:lang w:val="it-IT"/>
                        </w:rPr>
                        <w:t>,</w:t>
                      </w:r>
                      <w:r w:rsidR="00157284">
                        <w:rPr>
                          <w:rFonts w:ascii="Helvetica 55 Roman" w:hAnsi="Helvetica 55 Roman" w:cs="Helvetica 55 Roman"/>
                          <w:i/>
                          <w:iCs/>
                          <w:sz w:val="22"/>
                          <w:szCs w:val="22"/>
                          <w:lang w:val="it-IT"/>
                        </w:rPr>
                        <w:t xml:space="preserve"> sulle politiche e sui si</w:t>
                      </w:r>
                      <w:r w:rsidR="00606009">
                        <w:rPr>
                          <w:rFonts w:ascii="Helvetica 55 Roman" w:hAnsi="Helvetica 55 Roman" w:cs="Helvetica 55 Roman"/>
                          <w:i/>
                          <w:iCs/>
                          <w:sz w:val="22"/>
                          <w:szCs w:val="22"/>
                          <w:lang w:val="it-IT"/>
                        </w:rPr>
                        <w:t>s</w:t>
                      </w:r>
                      <w:r w:rsidR="00157284">
                        <w:rPr>
                          <w:rFonts w:ascii="Helvetica 55 Roman" w:hAnsi="Helvetica 55 Roman" w:cs="Helvetica 55 Roman"/>
                          <w:i/>
                          <w:iCs/>
                          <w:sz w:val="22"/>
                          <w:szCs w:val="22"/>
                          <w:lang w:val="it-IT"/>
                        </w:rPr>
                        <w:t>temi della formazione e apprendimento lungo tutto l’arco della vita</w:t>
                      </w:r>
                      <w:r w:rsidR="00606009">
                        <w:rPr>
                          <w:rFonts w:ascii="Helvetica 55 Roman" w:hAnsi="Helvetica 55 Roman" w:cs="Helvetica 55 Roman"/>
                          <w:i/>
                          <w:iCs/>
                          <w:sz w:val="22"/>
                          <w:szCs w:val="22"/>
                          <w:lang w:val="it-IT"/>
                        </w:rPr>
                        <w:t xml:space="preserve"> e</w:t>
                      </w:r>
                      <w:r w:rsidR="00DA6D85">
                        <w:rPr>
                          <w:rFonts w:ascii="Helvetica 55 Roman" w:hAnsi="Helvetica 55 Roman" w:cs="Helvetica 55 Roman"/>
                          <w:i/>
                          <w:iCs/>
                          <w:sz w:val="22"/>
                          <w:szCs w:val="22"/>
                          <w:lang w:val="it-IT"/>
                        </w:rPr>
                        <w:t xml:space="preserve"> </w:t>
                      </w:r>
                      <w:r w:rsidR="00606009">
                        <w:rPr>
                          <w:rFonts w:ascii="Helvetica 55 Roman" w:hAnsi="Helvetica 55 Roman" w:cs="Helvetica 55 Roman"/>
                          <w:i/>
                          <w:iCs/>
                          <w:sz w:val="22"/>
                          <w:szCs w:val="22"/>
                          <w:lang w:val="it-IT"/>
                        </w:rPr>
                        <w:t xml:space="preserve">in materia di </w:t>
                      </w:r>
                      <w:r w:rsidR="00DA6D85">
                        <w:rPr>
                          <w:rFonts w:ascii="Helvetica 55 Roman" w:hAnsi="Helvetica 55 Roman" w:cs="Helvetica 55 Roman"/>
                          <w:i/>
                          <w:iCs/>
                          <w:sz w:val="22"/>
                          <w:szCs w:val="22"/>
                          <w:lang w:val="it-IT"/>
                        </w:rPr>
                        <w:t>mercato del lavoro e inclusione sociale.</w:t>
                      </w:r>
                      <w:r w:rsidRPr="00394DFC">
                        <w:rPr>
                          <w:rFonts w:ascii="Helvetica 55 Roman" w:hAnsi="Helvetica 55 Roman" w:cs="Helvetica 55 Roman"/>
                          <w:i/>
                          <w:iCs/>
                          <w:sz w:val="22"/>
                          <w:szCs w:val="22"/>
                          <w:lang w:val="it-IT"/>
                        </w:rPr>
                        <w:t xml:space="preserve"> </w:t>
                      </w:r>
                      <w:r w:rsidR="00606009">
                        <w:rPr>
                          <w:rFonts w:ascii="Helvetica 55 Roman" w:hAnsi="Helvetica 55 Roman" w:cs="Helvetica 55 Roman"/>
                          <w:i/>
                          <w:iCs/>
                          <w:sz w:val="22"/>
                          <w:szCs w:val="22"/>
                          <w:lang w:val="it-IT"/>
                        </w:rPr>
                        <w:t>F</w:t>
                      </w:r>
                      <w:r w:rsidRPr="00394DFC">
                        <w:rPr>
                          <w:rFonts w:ascii="Helvetica 55 Roman" w:hAnsi="Helvetica 55 Roman" w:cs="Helvetica 55 Roman"/>
                          <w:i/>
                          <w:iCs/>
                          <w:sz w:val="22"/>
                          <w:szCs w:val="22"/>
                          <w:lang w:val="it-IT"/>
                        </w:rPr>
                        <w:t xml:space="preserve">a parte del Sistema </w:t>
                      </w:r>
                      <w:r w:rsidR="00AE6597">
                        <w:rPr>
                          <w:rFonts w:ascii="Helvetica 55 Roman" w:hAnsi="Helvetica 55 Roman" w:cs="Helvetica 55 Roman"/>
                          <w:i/>
                          <w:iCs/>
                          <w:sz w:val="22"/>
                          <w:szCs w:val="22"/>
                          <w:lang w:val="it-IT"/>
                        </w:rPr>
                        <w:t>s</w:t>
                      </w:r>
                      <w:r w:rsidRPr="00394DFC">
                        <w:rPr>
                          <w:rFonts w:ascii="Helvetica 55 Roman" w:hAnsi="Helvetica 55 Roman" w:cs="Helvetica 55 Roman"/>
                          <w:i/>
                          <w:iCs/>
                          <w:sz w:val="22"/>
                          <w:szCs w:val="22"/>
                          <w:lang w:val="it-IT"/>
                        </w:rPr>
                        <w:t xml:space="preserve">tatistico </w:t>
                      </w:r>
                      <w:r w:rsidR="00AE6597">
                        <w:rPr>
                          <w:rFonts w:ascii="Helvetica 55 Roman" w:hAnsi="Helvetica 55 Roman" w:cs="Helvetica 55 Roman"/>
                          <w:i/>
                          <w:iCs/>
                          <w:sz w:val="22"/>
                          <w:szCs w:val="22"/>
                          <w:lang w:val="it-IT"/>
                        </w:rPr>
                        <w:t>n</w:t>
                      </w:r>
                      <w:r w:rsidRPr="00394DFC">
                        <w:rPr>
                          <w:rFonts w:ascii="Helvetica 55 Roman" w:hAnsi="Helvetica 55 Roman" w:cs="Helvetica 55 Roman"/>
                          <w:i/>
                          <w:iCs/>
                          <w:sz w:val="22"/>
                          <w:szCs w:val="22"/>
                          <w:lang w:val="it-IT"/>
                        </w:rPr>
                        <w:t>azionale</w:t>
                      </w:r>
                      <w:r w:rsidR="00606009">
                        <w:rPr>
                          <w:rFonts w:ascii="Helvetica 55 Roman" w:hAnsi="Helvetica 55 Roman" w:cs="Helvetica 55 Roman"/>
                          <w:i/>
                          <w:iCs/>
                          <w:sz w:val="22"/>
                          <w:szCs w:val="22"/>
                          <w:lang w:val="it-IT"/>
                        </w:rPr>
                        <w:t xml:space="preserve"> e collabora con le istituzioni europee. S</w:t>
                      </w:r>
                      <w:r w:rsidRPr="00394DFC">
                        <w:rPr>
                          <w:rFonts w:ascii="Helvetica 55 Roman" w:hAnsi="Helvetica 55 Roman" w:cs="Helvetica 55 Roman"/>
                          <w:i/>
                          <w:iCs/>
                          <w:sz w:val="22"/>
                          <w:szCs w:val="22"/>
                          <w:lang w:val="it-IT"/>
                        </w:rPr>
                        <w:t xml:space="preserve">volge il ruolo di assistenza </w:t>
                      </w:r>
                      <w:r w:rsidR="00606009">
                        <w:rPr>
                          <w:rFonts w:ascii="Helvetica 55 Roman" w:hAnsi="Helvetica 55 Roman" w:cs="Helvetica 55 Roman"/>
                          <w:i/>
                          <w:iCs/>
                          <w:sz w:val="22"/>
                          <w:szCs w:val="22"/>
                          <w:lang w:val="it-IT"/>
                        </w:rPr>
                        <w:t xml:space="preserve">metodologica e </w:t>
                      </w:r>
                      <w:r w:rsidRPr="00394DFC">
                        <w:rPr>
                          <w:rFonts w:ascii="Helvetica 55 Roman" w:hAnsi="Helvetica 55 Roman" w:cs="Helvetica 55 Roman"/>
                          <w:i/>
                          <w:iCs/>
                          <w:sz w:val="22"/>
                          <w:szCs w:val="22"/>
                          <w:lang w:val="it-IT"/>
                        </w:rPr>
                        <w:t xml:space="preserve">scientifica per le azioni </w:t>
                      </w:r>
                      <w:r w:rsidR="00606009">
                        <w:rPr>
                          <w:rFonts w:ascii="Helvetica 55 Roman" w:hAnsi="Helvetica 55 Roman" w:cs="Helvetica 55 Roman"/>
                          <w:i/>
                          <w:iCs/>
                          <w:sz w:val="22"/>
                          <w:szCs w:val="22"/>
                          <w:lang w:val="it-IT"/>
                        </w:rPr>
                        <w:t xml:space="preserve">di sistema </w:t>
                      </w:r>
                      <w:r w:rsidRPr="00394DFC">
                        <w:rPr>
                          <w:rFonts w:ascii="Helvetica 55 Roman" w:hAnsi="Helvetica 55 Roman" w:cs="Helvetica 55 Roman"/>
                          <w:i/>
                          <w:iCs/>
                          <w:sz w:val="22"/>
                          <w:szCs w:val="22"/>
                          <w:lang w:val="it-IT"/>
                        </w:rPr>
                        <w:t>del Fondo sociale europeo</w:t>
                      </w:r>
                      <w:r w:rsidR="00606009">
                        <w:rPr>
                          <w:rFonts w:ascii="Helvetica 55 Roman" w:hAnsi="Helvetica 55 Roman" w:cs="Helvetica 55 Roman"/>
                          <w:i/>
                          <w:iCs/>
                          <w:sz w:val="22"/>
                          <w:szCs w:val="22"/>
                          <w:lang w:val="it-IT"/>
                        </w:rPr>
                        <w:t xml:space="preserve"> ed è </w:t>
                      </w:r>
                      <w:r w:rsidRPr="00394DFC">
                        <w:rPr>
                          <w:rFonts w:ascii="Helvetica 55 Roman" w:hAnsi="Helvetica 55 Roman" w:cs="Helvetica 55 Roman"/>
                          <w:i/>
                          <w:iCs/>
                          <w:sz w:val="22"/>
                          <w:szCs w:val="22"/>
                          <w:lang w:val="it-IT"/>
                        </w:rPr>
                        <w:t>Agenzia nazionale Lifelong Learning Programme, Programma settoriale Leonardo da Vinci.</w:t>
                      </w:r>
                    </w:p>
                    <w:p w14:paraId="3613FC1A" w14:textId="77777777" w:rsidR="00DF46D3" w:rsidRPr="00394DFC" w:rsidRDefault="00DF46D3">
                      <w:pPr>
                        <w:rPr>
                          <w:lang w:val="it-IT"/>
                        </w:rPr>
                      </w:pPr>
                    </w:p>
                  </w:txbxContent>
                </v:textbox>
                <w10:wrap type="tight" anchory="page"/>
              </v:shape>
            </w:pict>
          </mc:Fallback>
        </mc:AlternateContent>
      </w:r>
      <w:r w:rsidR="00DA6D85">
        <w:rPr>
          <w:noProof/>
          <w:lang w:val="it-IT" w:eastAsia="it-IT"/>
        </w:rPr>
        <w:drawing>
          <wp:anchor distT="0" distB="0" distL="114300" distR="114300" simplePos="0" relativeHeight="251693056" behindDoc="1" locked="0" layoutInCell="1" allowOverlap="1" wp14:anchorId="5D97AC13" wp14:editId="4624E869">
            <wp:simplePos x="0" y="0"/>
            <wp:positionH relativeFrom="margin">
              <wp:posOffset>2103755</wp:posOffset>
            </wp:positionH>
            <wp:positionV relativeFrom="page">
              <wp:posOffset>9363075</wp:posOffset>
            </wp:positionV>
            <wp:extent cx="1057275" cy="436880"/>
            <wp:effectExtent l="0" t="0" r="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7275" cy="43688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720522" w:rsidSect="00AF642F">
      <w:headerReference w:type="even" r:id="rId21"/>
      <w:headerReference w:type="default" r:id="rId22"/>
      <w:footerReference w:type="even" r:id="rId23"/>
      <w:footerReference w:type="default" r:id="rId24"/>
      <w:footerReference w:type="first" r:id="rId25"/>
      <w:footnotePr>
        <w:pos w:val="beneathText"/>
      </w:footnotePr>
      <w:type w:val="continuous"/>
      <w:pgSz w:w="11909" w:h="16834" w:code="9"/>
      <w:pgMar w:top="1701" w:right="1701" w:bottom="1134" w:left="1701" w:header="720" w:footer="431" w:gutter="0"/>
      <w:pgNumType w:start="2"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33EE36" w14:textId="77777777" w:rsidR="004F5CEE" w:rsidRDefault="004F5CEE">
      <w:r>
        <w:separator/>
      </w:r>
    </w:p>
  </w:endnote>
  <w:endnote w:type="continuationSeparator" w:id="0">
    <w:p w14:paraId="6038797A" w14:textId="77777777" w:rsidR="004F5CEE" w:rsidRDefault="004F5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inion Pro">
    <w:panose1 w:val="00000000000000000000"/>
    <w:charset w:val="00"/>
    <w:family w:val="roman"/>
    <w:notTrueType/>
    <w:pitch w:val="variable"/>
    <w:sig w:usb0="60000287" w:usb1="00000001" w:usb2="00000000" w:usb3="00000000" w:csb0="0000019F" w:csb1="00000000"/>
  </w:font>
  <w:font w:name="Lucida Grande">
    <w:altName w:val="Times New Roman"/>
    <w:charset w:val="00"/>
    <w:family w:val="auto"/>
    <w:pitch w:val="variable"/>
    <w:sig w:usb0="00000000"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Helvetica 55 Roman">
    <w:panose1 w:val="00000000000000000000"/>
    <w:charset w:val="00"/>
    <w:family w:val="swiss"/>
    <w:notTrueType/>
    <w:pitch w:val="variable"/>
    <w:sig w:usb0="00000003" w:usb1="00000000" w:usb2="00000000" w:usb3="00000000" w:csb0="00000001" w:csb1="00000000"/>
  </w:font>
  <w:font w:name="Helvetica 35 Thi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796FC" w14:textId="77777777" w:rsidR="00DF46D3" w:rsidRDefault="00DF46D3" w:rsidP="00536912">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3517F5B3" w14:textId="77777777" w:rsidR="00DF46D3" w:rsidRDefault="00DF46D3">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D159B" w14:textId="77777777" w:rsidR="00DF46D3" w:rsidRDefault="00DF46D3" w:rsidP="00536912">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46261F">
      <w:rPr>
        <w:rStyle w:val="Numeropagina"/>
        <w:noProof/>
      </w:rPr>
      <w:t>3</w:t>
    </w:r>
    <w:r>
      <w:rPr>
        <w:rStyle w:val="Numeropagina"/>
      </w:rPr>
      <w:fldChar w:fldCharType="end"/>
    </w:r>
  </w:p>
  <w:p w14:paraId="70B286B0" w14:textId="5256350E" w:rsidR="00DF46D3" w:rsidRPr="00DB588B" w:rsidRDefault="00DF46D3">
    <w:pPr>
      <w:pStyle w:val="Pidipagina"/>
      <w:rPr>
        <w:rStyle w:val="Numeropagina"/>
      </w:rPr>
    </w:pPr>
    <w:r>
      <w:rPr>
        <w:noProof/>
        <w:color w:val="828381"/>
        <w:sz w:val="24"/>
        <w:szCs w:val="24"/>
        <w:lang w:val="it-IT" w:eastAsia="it-IT"/>
      </w:rPr>
      <w:drawing>
        <wp:anchor distT="0" distB="0" distL="114300" distR="114300" simplePos="0" relativeHeight="251659264" behindDoc="0" locked="0" layoutInCell="1" allowOverlap="1" wp14:anchorId="6F5C1253" wp14:editId="04DB1F0D">
          <wp:simplePos x="0" y="0"/>
          <wp:positionH relativeFrom="column">
            <wp:posOffset>2409190</wp:posOffset>
          </wp:positionH>
          <wp:positionV relativeFrom="bottomMargin">
            <wp:posOffset>85725</wp:posOffset>
          </wp:positionV>
          <wp:extent cx="869287" cy="536719"/>
          <wp:effectExtent l="0" t="0" r="0" b="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rafica.png"/>
                  <pic:cNvPicPr/>
                </pic:nvPicPr>
                <pic:blipFill>
                  <a:blip r:embed="rId1">
                    <a:extLst>
                      <a:ext uri="{28A0092B-C50C-407E-A947-70E740481C1C}">
                        <a14:useLocalDpi xmlns:a14="http://schemas.microsoft.com/office/drawing/2010/main" val="0"/>
                      </a:ext>
                    </a:extLst>
                  </a:blip>
                  <a:stretch>
                    <a:fillRect/>
                  </a:stretch>
                </pic:blipFill>
                <pic:spPr>
                  <a:xfrm rot="10800000">
                    <a:off x="0" y="0"/>
                    <a:ext cx="869287" cy="536719"/>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Pr="00DB588B">
      <w:rPr>
        <w:rStyle w:val="Numeropagina"/>
      </w:rPr>
      <w:t>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361A7" w14:textId="77777777" w:rsidR="00DF46D3" w:rsidRDefault="00DF46D3" w:rsidP="00EE42F5">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46261F">
      <w:rPr>
        <w:rStyle w:val="Numeropagina"/>
        <w:noProof/>
      </w:rPr>
      <w:t>2</w:t>
    </w:r>
    <w:r>
      <w:rPr>
        <w:rStyle w:val="Numeropagina"/>
      </w:rPr>
      <w:fldChar w:fldCharType="end"/>
    </w:r>
  </w:p>
  <w:p w14:paraId="40B5F75E" w14:textId="2C287955" w:rsidR="00DF46D3" w:rsidRDefault="00DF46D3">
    <w:pPr>
      <w:pStyle w:val="Pidipagina"/>
    </w:pPr>
    <w:r>
      <w:rPr>
        <w:noProof/>
        <w:lang w:val="it-IT" w:eastAsia="it-IT"/>
      </w:rPr>
      <w:drawing>
        <wp:anchor distT="0" distB="0" distL="114300" distR="114300" simplePos="0" relativeHeight="251658240" behindDoc="0" locked="0" layoutInCell="1" allowOverlap="1" wp14:anchorId="4D932618" wp14:editId="4815D558">
          <wp:simplePos x="0" y="0"/>
          <wp:positionH relativeFrom="column">
            <wp:align>center</wp:align>
          </wp:positionH>
          <wp:positionV relativeFrom="bottomMargin">
            <wp:posOffset>0</wp:posOffset>
          </wp:positionV>
          <wp:extent cx="1548436" cy="719352"/>
          <wp:effectExtent l="0" t="0" r="0" b="0"/>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rafica.png"/>
                  <pic:cNvPicPr/>
                </pic:nvPicPr>
                <pic:blipFill>
                  <a:blip r:embed="rId1">
                    <a:extLst>
                      <a:ext uri="{28A0092B-C50C-407E-A947-70E740481C1C}">
                        <a14:useLocalDpi xmlns:a14="http://schemas.microsoft.com/office/drawing/2010/main" val="0"/>
                      </a:ext>
                    </a:extLst>
                  </a:blip>
                  <a:stretch>
                    <a:fillRect/>
                  </a:stretch>
                </pic:blipFill>
                <pic:spPr>
                  <a:xfrm>
                    <a:off x="0" y="0"/>
                    <a:ext cx="1548436" cy="719352"/>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B33894" w14:textId="77777777" w:rsidR="004F5CEE" w:rsidRDefault="004F5CEE">
      <w:r>
        <w:separator/>
      </w:r>
    </w:p>
  </w:footnote>
  <w:footnote w:type="continuationSeparator" w:id="0">
    <w:p w14:paraId="53C52EB9" w14:textId="77777777" w:rsidR="004F5CEE" w:rsidRDefault="004F5C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91BEE6" w14:textId="77777777" w:rsidR="00DF46D3" w:rsidRDefault="00DF46D3">
    <w:pPr>
      <w:pStyle w:val="Intestazione"/>
    </w:pPr>
  </w:p>
  <w:p w14:paraId="54554A81" w14:textId="77777777" w:rsidR="00DF46D3" w:rsidRDefault="00DF46D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F526D1" w14:textId="436335F6" w:rsidR="00AF642F" w:rsidRPr="00AF642F" w:rsidRDefault="00AF642F" w:rsidP="00AF642F">
    <w:pPr>
      <w:pStyle w:val="Intestazione"/>
      <w:jc w:val="center"/>
      <w:rPr>
        <w:lang w:val="it-IT"/>
      </w:rPr>
    </w:pPr>
    <w:r>
      <w:rPr>
        <w:lang w:val="it-IT"/>
      </w:rPr>
      <w:t>ISFOL su … Politiche sociali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66AF134"/>
    <w:lvl w:ilvl="0">
      <w:start w:val="1"/>
      <w:numFmt w:val="decimal"/>
      <w:pStyle w:val="Numeroelenco5"/>
      <w:lvlText w:val="%1."/>
      <w:lvlJc w:val="left"/>
      <w:pPr>
        <w:tabs>
          <w:tab w:val="num" w:pos="1800"/>
        </w:tabs>
        <w:ind w:left="1800" w:hanging="360"/>
      </w:pPr>
    </w:lvl>
  </w:abstractNum>
  <w:abstractNum w:abstractNumId="1">
    <w:nsid w:val="FFFFFF7D"/>
    <w:multiLevelType w:val="singleLevel"/>
    <w:tmpl w:val="ED547558"/>
    <w:lvl w:ilvl="0">
      <w:start w:val="1"/>
      <w:numFmt w:val="decimal"/>
      <w:pStyle w:val="Numeroelenco4"/>
      <w:lvlText w:val="%1."/>
      <w:lvlJc w:val="left"/>
      <w:pPr>
        <w:tabs>
          <w:tab w:val="num" w:pos="1440"/>
        </w:tabs>
        <w:ind w:left="1440" w:hanging="360"/>
      </w:pPr>
    </w:lvl>
  </w:abstractNum>
  <w:abstractNum w:abstractNumId="2">
    <w:nsid w:val="FFFFFF7E"/>
    <w:multiLevelType w:val="singleLevel"/>
    <w:tmpl w:val="9F84F3E2"/>
    <w:lvl w:ilvl="0">
      <w:start w:val="1"/>
      <w:numFmt w:val="decimal"/>
      <w:pStyle w:val="Numeroelenco3"/>
      <w:lvlText w:val="%1."/>
      <w:lvlJc w:val="left"/>
      <w:pPr>
        <w:tabs>
          <w:tab w:val="num" w:pos="1080"/>
        </w:tabs>
        <w:ind w:left="1080" w:hanging="360"/>
      </w:pPr>
    </w:lvl>
  </w:abstractNum>
  <w:abstractNum w:abstractNumId="3">
    <w:nsid w:val="FFFFFF7F"/>
    <w:multiLevelType w:val="singleLevel"/>
    <w:tmpl w:val="5E5C781E"/>
    <w:lvl w:ilvl="0">
      <w:start w:val="1"/>
      <w:numFmt w:val="decimal"/>
      <w:pStyle w:val="Numeroelenco2"/>
      <w:lvlText w:val="%1."/>
      <w:lvlJc w:val="left"/>
      <w:pPr>
        <w:tabs>
          <w:tab w:val="num" w:pos="720"/>
        </w:tabs>
        <w:ind w:left="720" w:hanging="360"/>
      </w:pPr>
    </w:lvl>
  </w:abstractNum>
  <w:abstractNum w:abstractNumId="4">
    <w:nsid w:val="FFFFFF80"/>
    <w:multiLevelType w:val="singleLevel"/>
    <w:tmpl w:val="8F3A0B3A"/>
    <w:lvl w:ilvl="0">
      <w:start w:val="1"/>
      <w:numFmt w:val="bullet"/>
      <w:pStyle w:val="Puntoelenco5"/>
      <w:lvlText w:val=""/>
      <w:lvlJc w:val="left"/>
      <w:pPr>
        <w:tabs>
          <w:tab w:val="num" w:pos="1800"/>
        </w:tabs>
        <w:ind w:left="1800" w:hanging="360"/>
      </w:pPr>
      <w:rPr>
        <w:rFonts w:ascii="Symbol" w:hAnsi="Symbol" w:hint="default"/>
      </w:rPr>
    </w:lvl>
  </w:abstractNum>
  <w:abstractNum w:abstractNumId="5">
    <w:nsid w:val="FFFFFF81"/>
    <w:multiLevelType w:val="singleLevel"/>
    <w:tmpl w:val="A1A6EB44"/>
    <w:lvl w:ilvl="0">
      <w:start w:val="1"/>
      <w:numFmt w:val="bullet"/>
      <w:pStyle w:val="Puntoelenco4"/>
      <w:lvlText w:val=""/>
      <w:lvlJc w:val="left"/>
      <w:pPr>
        <w:tabs>
          <w:tab w:val="num" w:pos="1440"/>
        </w:tabs>
        <w:ind w:left="1440" w:hanging="360"/>
      </w:pPr>
      <w:rPr>
        <w:rFonts w:ascii="Symbol" w:hAnsi="Symbol" w:hint="default"/>
      </w:rPr>
    </w:lvl>
  </w:abstractNum>
  <w:abstractNum w:abstractNumId="6">
    <w:nsid w:val="FFFFFF82"/>
    <w:multiLevelType w:val="singleLevel"/>
    <w:tmpl w:val="E9BC75FE"/>
    <w:lvl w:ilvl="0">
      <w:start w:val="1"/>
      <w:numFmt w:val="bullet"/>
      <w:pStyle w:val="Puntoelenco3"/>
      <w:lvlText w:val=""/>
      <w:lvlJc w:val="left"/>
      <w:pPr>
        <w:tabs>
          <w:tab w:val="num" w:pos="1080"/>
        </w:tabs>
        <w:ind w:left="1080" w:hanging="360"/>
      </w:pPr>
      <w:rPr>
        <w:rFonts w:ascii="Symbol" w:hAnsi="Symbol" w:hint="default"/>
      </w:rPr>
    </w:lvl>
  </w:abstractNum>
  <w:abstractNum w:abstractNumId="7">
    <w:nsid w:val="FFFFFF83"/>
    <w:multiLevelType w:val="singleLevel"/>
    <w:tmpl w:val="D3389C58"/>
    <w:lvl w:ilvl="0">
      <w:start w:val="1"/>
      <w:numFmt w:val="bullet"/>
      <w:pStyle w:val="Puntoelenco2"/>
      <w:lvlText w:val=""/>
      <w:lvlJc w:val="left"/>
      <w:pPr>
        <w:tabs>
          <w:tab w:val="num" w:pos="720"/>
        </w:tabs>
        <w:ind w:left="720" w:hanging="360"/>
      </w:pPr>
      <w:rPr>
        <w:rFonts w:ascii="Symbol" w:hAnsi="Symbol" w:hint="default"/>
      </w:rPr>
    </w:lvl>
  </w:abstractNum>
  <w:abstractNum w:abstractNumId="8">
    <w:nsid w:val="FFFFFF88"/>
    <w:multiLevelType w:val="singleLevel"/>
    <w:tmpl w:val="DC1CD0D0"/>
    <w:lvl w:ilvl="0">
      <w:start w:val="1"/>
      <w:numFmt w:val="decimal"/>
      <w:pStyle w:val="Numeroelenco"/>
      <w:lvlText w:val="%1."/>
      <w:lvlJc w:val="left"/>
      <w:pPr>
        <w:tabs>
          <w:tab w:val="num" w:pos="360"/>
        </w:tabs>
        <w:ind w:left="360" w:hanging="360"/>
      </w:pPr>
    </w:lvl>
  </w:abstractNum>
  <w:abstractNum w:abstractNumId="9">
    <w:nsid w:val="FFFFFF89"/>
    <w:multiLevelType w:val="singleLevel"/>
    <w:tmpl w:val="BF1AC854"/>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77C04514"/>
    <w:multiLevelType w:val="hybridMultilevel"/>
    <w:tmpl w:val="796C83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activeWritingStyle w:appName="MSWord" w:lang="it-IT" w:vendorID="3" w:dllVersion="517" w:checkStyle="1"/>
  <w:defaultTabStop w:val="720"/>
  <w:hyphenationZone w:val="283"/>
  <w:drawingGridHorizontalSpacing w:val="181"/>
  <w:drawingGridVerticalSpacing w:val="181"/>
  <w:characterSpacingControl w:val="doNotCompress"/>
  <w:hdrShapeDefaults>
    <o:shapedefaults v:ext="edit" spidmax="2049"/>
  </w:hdrShapeDefaults>
  <w:footnotePr>
    <w:pos w:val="beneathTex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DynamicGuides" w:val="1"/>
    <w:docVar w:name="ShowMarginGuides" w:val="0"/>
    <w:docVar w:name="ShowOutlines" w:val="0"/>
    <w:docVar w:name="ShowStaticGuides" w:val="1"/>
  </w:docVars>
  <w:rsids>
    <w:rsidRoot w:val="0081474F"/>
    <w:rsid w:val="00001DAC"/>
    <w:rsid w:val="00014562"/>
    <w:rsid w:val="000321AA"/>
    <w:rsid w:val="00053528"/>
    <w:rsid w:val="00064166"/>
    <w:rsid w:val="000719D8"/>
    <w:rsid w:val="00086886"/>
    <w:rsid w:val="00096FB0"/>
    <w:rsid w:val="000B0926"/>
    <w:rsid w:val="000C443A"/>
    <w:rsid w:val="000D5D93"/>
    <w:rsid w:val="000E2A2C"/>
    <w:rsid w:val="000E3B8D"/>
    <w:rsid w:val="0010236C"/>
    <w:rsid w:val="0010679E"/>
    <w:rsid w:val="001115FB"/>
    <w:rsid w:val="00140666"/>
    <w:rsid w:val="00157284"/>
    <w:rsid w:val="00170D80"/>
    <w:rsid w:val="00172D42"/>
    <w:rsid w:val="00176BE8"/>
    <w:rsid w:val="001A1D8E"/>
    <w:rsid w:val="001B1AE5"/>
    <w:rsid w:val="001B58CD"/>
    <w:rsid w:val="001D2F19"/>
    <w:rsid w:val="001D47B3"/>
    <w:rsid w:val="001D4BF0"/>
    <w:rsid w:val="001E008C"/>
    <w:rsid w:val="001F009A"/>
    <w:rsid w:val="0020146D"/>
    <w:rsid w:val="00214E13"/>
    <w:rsid w:val="00216869"/>
    <w:rsid w:val="002236D3"/>
    <w:rsid w:val="0026490A"/>
    <w:rsid w:val="002743E7"/>
    <w:rsid w:val="00280A20"/>
    <w:rsid w:val="00296242"/>
    <w:rsid w:val="0029703B"/>
    <w:rsid w:val="002A2666"/>
    <w:rsid w:val="002B5FE4"/>
    <w:rsid w:val="002C4FBA"/>
    <w:rsid w:val="002F1735"/>
    <w:rsid w:val="00301EAC"/>
    <w:rsid w:val="0031193D"/>
    <w:rsid w:val="003222D6"/>
    <w:rsid w:val="003237F4"/>
    <w:rsid w:val="003419E4"/>
    <w:rsid w:val="00351F8D"/>
    <w:rsid w:val="0036213B"/>
    <w:rsid w:val="003722C3"/>
    <w:rsid w:val="00394DFC"/>
    <w:rsid w:val="003A5FC6"/>
    <w:rsid w:val="003A7B4A"/>
    <w:rsid w:val="003A7EF5"/>
    <w:rsid w:val="003B3B2C"/>
    <w:rsid w:val="003C19B6"/>
    <w:rsid w:val="003E76A6"/>
    <w:rsid w:val="004228F2"/>
    <w:rsid w:val="00427D58"/>
    <w:rsid w:val="004510AC"/>
    <w:rsid w:val="00453C42"/>
    <w:rsid w:val="004556A3"/>
    <w:rsid w:val="00455C88"/>
    <w:rsid w:val="0046261F"/>
    <w:rsid w:val="004B6913"/>
    <w:rsid w:val="004D3431"/>
    <w:rsid w:val="004E2EAD"/>
    <w:rsid w:val="004E717C"/>
    <w:rsid w:val="004F0ACA"/>
    <w:rsid w:val="004F5CEE"/>
    <w:rsid w:val="004F696B"/>
    <w:rsid w:val="00511922"/>
    <w:rsid w:val="00512093"/>
    <w:rsid w:val="00513B7B"/>
    <w:rsid w:val="005264ED"/>
    <w:rsid w:val="00536912"/>
    <w:rsid w:val="005462DE"/>
    <w:rsid w:val="00553823"/>
    <w:rsid w:val="0055616C"/>
    <w:rsid w:val="00567088"/>
    <w:rsid w:val="00580007"/>
    <w:rsid w:val="0058655B"/>
    <w:rsid w:val="00593612"/>
    <w:rsid w:val="00593A79"/>
    <w:rsid w:val="005B1E63"/>
    <w:rsid w:val="005C17B0"/>
    <w:rsid w:val="005D0F7B"/>
    <w:rsid w:val="005E1ECC"/>
    <w:rsid w:val="005F2595"/>
    <w:rsid w:val="005F54A2"/>
    <w:rsid w:val="005F6DD1"/>
    <w:rsid w:val="005F7541"/>
    <w:rsid w:val="00604637"/>
    <w:rsid w:val="00604A17"/>
    <w:rsid w:val="00606009"/>
    <w:rsid w:val="00617D6B"/>
    <w:rsid w:val="0062063F"/>
    <w:rsid w:val="00625677"/>
    <w:rsid w:val="00626814"/>
    <w:rsid w:val="00650FC6"/>
    <w:rsid w:val="006529BF"/>
    <w:rsid w:val="00652C41"/>
    <w:rsid w:val="0066242F"/>
    <w:rsid w:val="00664DEC"/>
    <w:rsid w:val="00670886"/>
    <w:rsid w:val="00682C90"/>
    <w:rsid w:val="00695F19"/>
    <w:rsid w:val="006970BB"/>
    <w:rsid w:val="006C5F97"/>
    <w:rsid w:val="006C7028"/>
    <w:rsid w:val="006F27FF"/>
    <w:rsid w:val="0070184C"/>
    <w:rsid w:val="00701FAA"/>
    <w:rsid w:val="007034B0"/>
    <w:rsid w:val="00720522"/>
    <w:rsid w:val="00724BA6"/>
    <w:rsid w:val="007268A5"/>
    <w:rsid w:val="00735D5D"/>
    <w:rsid w:val="00755735"/>
    <w:rsid w:val="00761FA1"/>
    <w:rsid w:val="007722B1"/>
    <w:rsid w:val="007777DF"/>
    <w:rsid w:val="00780F62"/>
    <w:rsid w:val="00797DB6"/>
    <w:rsid w:val="007A2DD9"/>
    <w:rsid w:val="007A50CD"/>
    <w:rsid w:val="007D54B6"/>
    <w:rsid w:val="007F4C1C"/>
    <w:rsid w:val="0081474F"/>
    <w:rsid w:val="00815785"/>
    <w:rsid w:val="00816F44"/>
    <w:rsid w:val="00832D10"/>
    <w:rsid w:val="00856F4F"/>
    <w:rsid w:val="008610BB"/>
    <w:rsid w:val="0086490E"/>
    <w:rsid w:val="00884B8F"/>
    <w:rsid w:val="00896F9C"/>
    <w:rsid w:val="008A35C4"/>
    <w:rsid w:val="008B79A6"/>
    <w:rsid w:val="008E2E41"/>
    <w:rsid w:val="009551DB"/>
    <w:rsid w:val="00961721"/>
    <w:rsid w:val="0097699F"/>
    <w:rsid w:val="00991195"/>
    <w:rsid w:val="00994DD8"/>
    <w:rsid w:val="00996461"/>
    <w:rsid w:val="009A343B"/>
    <w:rsid w:val="009A389B"/>
    <w:rsid w:val="009A5651"/>
    <w:rsid w:val="009B142A"/>
    <w:rsid w:val="009B2273"/>
    <w:rsid w:val="00A045A7"/>
    <w:rsid w:val="00A24FE0"/>
    <w:rsid w:val="00A273B1"/>
    <w:rsid w:val="00A50086"/>
    <w:rsid w:val="00A512FC"/>
    <w:rsid w:val="00A560D5"/>
    <w:rsid w:val="00A61417"/>
    <w:rsid w:val="00A91A1F"/>
    <w:rsid w:val="00A96858"/>
    <w:rsid w:val="00A968FC"/>
    <w:rsid w:val="00AA28E6"/>
    <w:rsid w:val="00AB2FDE"/>
    <w:rsid w:val="00AD7B76"/>
    <w:rsid w:val="00AE0FBE"/>
    <w:rsid w:val="00AE6597"/>
    <w:rsid w:val="00AF642F"/>
    <w:rsid w:val="00AF7DF9"/>
    <w:rsid w:val="00B04407"/>
    <w:rsid w:val="00B0645B"/>
    <w:rsid w:val="00B078E3"/>
    <w:rsid w:val="00B10044"/>
    <w:rsid w:val="00B4187C"/>
    <w:rsid w:val="00B554EB"/>
    <w:rsid w:val="00B60AE5"/>
    <w:rsid w:val="00B66B2C"/>
    <w:rsid w:val="00B70106"/>
    <w:rsid w:val="00B96CC2"/>
    <w:rsid w:val="00BC5E2A"/>
    <w:rsid w:val="00BF04A8"/>
    <w:rsid w:val="00BF1D3D"/>
    <w:rsid w:val="00C07E42"/>
    <w:rsid w:val="00C54BE2"/>
    <w:rsid w:val="00C55552"/>
    <w:rsid w:val="00C72FEC"/>
    <w:rsid w:val="00C77CA4"/>
    <w:rsid w:val="00C8615D"/>
    <w:rsid w:val="00CA66BF"/>
    <w:rsid w:val="00CA7958"/>
    <w:rsid w:val="00CC2EA3"/>
    <w:rsid w:val="00CC3E2B"/>
    <w:rsid w:val="00CD0DC9"/>
    <w:rsid w:val="00CF02E3"/>
    <w:rsid w:val="00CF4706"/>
    <w:rsid w:val="00D0532D"/>
    <w:rsid w:val="00D33EB1"/>
    <w:rsid w:val="00D5128A"/>
    <w:rsid w:val="00D64FEA"/>
    <w:rsid w:val="00D65FCD"/>
    <w:rsid w:val="00D66C38"/>
    <w:rsid w:val="00D8473E"/>
    <w:rsid w:val="00D93143"/>
    <w:rsid w:val="00DA20DA"/>
    <w:rsid w:val="00DA6D85"/>
    <w:rsid w:val="00DB588B"/>
    <w:rsid w:val="00DB652B"/>
    <w:rsid w:val="00DC50E4"/>
    <w:rsid w:val="00DF1789"/>
    <w:rsid w:val="00DF1971"/>
    <w:rsid w:val="00DF46D3"/>
    <w:rsid w:val="00E06567"/>
    <w:rsid w:val="00E06760"/>
    <w:rsid w:val="00E2670B"/>
    <w:rsid w:val="00E26C6D"/>
    <w:rsid w:val="00E3602E"/>
    <w:rsid w:val="00E463D7"/>
    <w:rsid w:val="00E5002D"/>
    <w:rsid w:val="00E55120"/>
    <w:rsid w:val="00E66752"/>
    <w:rsid w:val="00E81CAA"/>
    <w:rsid w:val="00E925B0"/>
    <w:rsid w:val="00EB09AE"/>
    <w:rsid w:val="00EB422E"/>
    <w:rsid w:val="00ED63B0"/>
    <w:rsid w:val="00EE3724"/>
    <w:rsid w:val="00EE42F5"/>
    <w:rsid w:val="00EE6887"/>
    <w:rsid w:val="00EE72E7"/>
    <w:rsid w:val="00F1122C"/>
    <w:rsid w:val="00F16360"/>
    <w:rsid w:val="00F32922"/>
    <w:rsid w:val="00F47BFD"/>
    <w:rsid w:val="00F51FF4"/>
    <w:rsid w:val="00F53310"/>
    <w:rsid w:val="00F717B3"/>
    <w:rsid w:val="00F72F25"/>
    <w:rsid w:val="00F86D47"/>
    <w:rsid w:val="00F9050F"/>
    <w:rsid w:val="00F92E0F"/>
    <w:rsid w:val="00FA3A7F"/>
    <w:rsid w:val="00FB6B8F"/>
    <w:rsid w:val="00FC385B"/>
    <w:rsid w:val="00FE2805"/>
    <w:rsid w:val="00FF52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A9B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D63B0"/>
    <w:pPr>
      <w:spacing w:after="120"/>
      <w:contextualSpacing/>
      <w:jc w:val="both"/>
    </w:pPr>
    <w:rPr>
      <w:rFonts w:ascii="Helvetica" w:hAnsi="Helvetica"/>
      <w:sz w:val="20"/>
    </w:rPr>
  </w:style>
  <w:style w:type="paragraph" w:styleId="Titolo1">
    <w:name w:val="heading 1"/>
    <w:basedOn w:val="Normale"/>
    <w:next w:val="Normale"/>
    <w:link w:val="Titolo1Carattere"/>
    <w:qFormat/>
    <w:rsid w:val="00816F44"/>
    <w:pPr>
      <w:keepNext/>
      <w:keepLines/>
      <w:spacing w:after="240"/>
      <w:outlineLvl w:val="0"/>
    </w:pPr>
    <w:rPr>
      <w:rFonts w:eastAsiaTheme="majorEastAsia" w:cstheme="majorBidi"/>
      <w:b/>
      <w:bCs/>
      <w:caps/>
      <w:sz w:val="24"/>
      <w:szCs w:val="24"/>
    </w:rPr>
  </w:style>
  <w:style w:type="paragraph" w:styleId="Titolo2">
    <w:name w:val="heading 2"/>
    <w:basedOn w:val="Normale"/>
    <w:next w:val="Normale"/>
    <w:link w:val="Titolo2Carattere"/>
    <w:semiHidden/>
    <w:unhideWhenUsed/>
    <w:qFormat/>
    <w:pPr>
      <w:keepNext/>
      <w:keepLines/>
      <w:spacing w:before="200"/>
      <w:outlineLvl w:val="1"/>
    </w:pPr>
    <w:rPr>
      <w:rFonts w:asciiTheme="majorHAnsi" w:eastAsiaTheme="majorEastAsia" w:hAnsiTheme="majorHAnsi" w:cstheme="majorBidi"/>
      <w:b/>
      <w:bCs/>
      <w:color w:val="8D8D8D" w:themeColor="accent1"/>
      <w:sz w:val="26"/>
      <w:szCs w:val="26"/>
    </w:rPr>
  </w:style>
  <w:style w:type="paragraph" w:styleId="Titolo3">
    <w:name w:val="heading 3"/>
    <w:basedOn w:val="Normale"/>
    <w:next w:val="Normale"/>
    <w:link w:val="Titolo3Carattere"/>
    <w:semiHidden/>
    <w:unhideWhenUsed/>
    <w:qFormat/>
    <w:pPr>
      <w:keepNext/>
      <w:keepLines/>
      <w:spacing w:before="200"/>
      <w:outlineLvl w:val="2"/>
    </w:pPr>
    <w:rPr>
      <w:rFonts w:asciiTheme="majorHAnsi" w:eastAsiaTheme="majorEastAsia" w:hAnsiTheme="majorHAnsi" w:cstheme="majorBidi"/>
      <w:b/>
      <w:bCs/>
      <w:color w:val="8D8D8D" w:themeColor="accent1"/>
    </w:rPr>
  </w:style>
  <w:style w:type="paragraph" w:styleId="Titolo4">
    <w:name w:val="heading 4"/>
    <w:basedOn w:val="Normale"/>
    <w:next w:val="Normale"/>
    <w:link w:val="Titolo4Carattere"/>
    <w:semiHidden/>
    <w:unhideWhenUsed/>
    <w:qFormat/>
    <w:pPr>
      <w:keepNext/>
      <w:keepLines/>
      <w:spacing w:before="200"/>
      <w:outlineLvl w:val="3"/>
    </w:pPr>
    <w:rPr>
      <w:rFonts w:asciiTheme="majorHAnsi" w:eastAsiaTheme="majorEastAsia" w:hAnsiTheme="majorHAnsi" w:cstheme="majorBidi"/>
      <w:b/>
      <w:bCs/>
      <w:i/>
      <w:iCs/>
      <w:color w:val="8D8D8D" w:themeColor="accent1"/>
    </w:rPr>
  </w:style>
  <w:style w:type="paragraph" w:styleId="Titolo5">
    <w:name w:val="heading 5"/>
    <w:basedOn w:val="Normale"/>
    <w:next w:val="Normale"/>
    <w:link w:val="Titolo5Carattere"/>
    <w:semiHidden/>
    <w:unhideWhenUsed/>
    <w:qFormat/>
    <w:pPr>
      <w:keepNext/>
      <w:keepLines/>
      <w:spacing w:before="200"/>
      <w:outlineLvl w:val="4"/>
    </w:pPr>
    <w:rPr>
      <w:rFonts w:asciiTheme="majorHAnsi" w:eastAsiaTheme="majorEastAsia" w:hAnsiTheme="majorHAnsi" w:cstheme="majorBidi"/>
      <w:color w:val="464646" w:themeColor="accent1" w:themeShade="7F"/>
    </w:rPr>
  </w:style>
  <w:style w:type="paragraph" w:styleId="Titolo6">
    <w:name w:val="heading 6"/>
    <w:basedOn w:val="Normale"/>
    <w:next w:val="Normale"/>
    <w:link w:val="Titolo6Carattere"/>
    <w:semiHidden/>
    <w:unhideWhenUsed/>
    <w:qFormat/>
    <w:pPr>
      <w:keepNext/>
      <w:keepLines/>
      <w:spacing w:before="200"/>
      <w:outlineLvl w:val="5"/>
    </w:pPr>
    <w:rPr>
      <w:rFonts w:asciiTheme="majorHAnsi" w:eastAsiaTheme="majorEastAsia" w:hAnsiTheme="majorHAnsi" w:cstheme="majorBidi"/>
      <w:i/>
      <w:iCs/>
      <w:color w:val="464646" w:themeColor="accent1" w:themeShade="7F"/>
    </w:rPr>
  </w:style>
  <w:style w:type="paragraph" w:styleId="Titolo7">
    <w:name w:val="heading 7"/>
    <w:basedOn w:val="Normale"/>
    <w:next w:val="Normale"/>
    <w:link w:val="Titolo7Carattere"/>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semiHidden/>
    <w:unhideWhenUsed/>
    <w:qFormat/>
    <w:pPr>
      <w:keepNext/>
      <w:keepLines/>
      <w:spacing w:before="200"/>
      <w:outlineLvl w:val="7"/>
    </w:pPr>
    <w:rPr>
      <w:rFonts w:asciiTheme="majorHAnsi" w:eastAsiaTheme="majorEastAsia" w:hAnsiTheme="majorHAnsi" w:cstheme="majorBidi"/>
      <w:color w:val="404040" w:themeColor="text1" w:themeTint="BF"/>
      <w:szCs w:val="20"/>
    </w:rPr>
  </w:style>
  <w:style w:type="paragraph" w:styleId="Titolo9">
    <w:name w:val="heading 9"/>
    <w:basedOn w:val="Normale"/>
    <w:next w:val="Normale"/>
    <w:link w:val="Titolo9Carattere"/>
    <w:semiHidden/>
    <w:unhideWhenUsed/>
    <w:qFormat/>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816F44"/>
    <w:rPr>
      <w:rFonts w:ascii="Helvetica" w:eastAsiaTheme="majorEastAsia" w:hAnsi="Helvetica" w:cstheme="majorBidi"/>
      <w:b/>
      <w:bCs/>
      <w:caps/>
      <w:sz w:val="24"/>
      <w:szCs w:val="24"/>
    </w:rPr>
  </w:style>
  <w:style w:type="paragraph" w:styleId="Sottotitolo">
    <w:name w:val="Subtitle"/>
    <w:basedOn w:val="Normale"/>
    <w:next w:val="Normale"/>
    <w:link w:val="SottotitoloCarattere"/>
    <w:pPr>
      <w:spacing w:line="1000" w:lineRule="exact"/>
      <w:jc w:val="right"/>
    </w:pPr>
    <w:rPr>
      <w:b/>
      <w:caps/>
      <w:color w:val="B2B2B2" w:themeColor="background2"/>
      <w:sz w:val="70"/>
      <w:szCs w:val="70"/>
    </w:rPr>
  </w:style>
  <w:style w:type="character" w:customStyle="1" w:styleId="SottotitoloCarattere">
    <w:name w:val="Sottotitolo Carattere"/>
    <w:basedOn w:val="Carpredefinitoparagrafo"/>
    <w:link w:val="Sottotitolo"/>
    <w:rPr>
      <w:b/>
      <w:caps/>
      <w:color w:val="B2B2B2" w:themeColor="background2"/>
      <w:sz w:val="70"/>
      <w:szCs w:val="70"/>
    </w:rPr>
  </w:style>
  <w:style w:type="paragraph" w:styleId="Intestazione">
    <w:name w:val="header"/>
    <w:basedOn w:val="Normale"/>
    <w:link w:val="IntestazioneCarattere"/>
    <w:pPr>
      <w:spacing w:after="400"/>
    </w:pPr>
  </w:style>
  <w:style w:type="character" w:customStyle="1" w:styleId="IntestazioneCarattere">
    <w:name w:val="Intestazione Carattere"/>
    <w:basedOn w:val="Carpredefinitoparagrafo"/>
    <w:link w:val="Intestazione"/>
    <w:rPr>
      <w:color w:val="7F7F7F" w:themeColor="text1" w:themeTint="80"/>
      <w:sz w:val="20"/>
    </w:rPr>
  </w:style>
  <w:style w:type="paragraph" w:styleId="Pidipagina">
    <w:name w:val="footer"/>
    <w:basedOn w:val="Normale"/>
    <w:link w:val="PidipaginaCarattere"/>
    <w:pPr>
      <w:tabs>
        <w:tab w:val="center" w:pos="4680"/>
        <w:tab w:val="right" w:pos="9360"/>
      </w:tabs>
      <w:spacing w:before="120"/>
      <w:jc w:val="center"/>
    </w:pPr>
    <w:rPr>
      <w:sz w:val="16"/>
      <w:szCs w:val="16"/>
    </w:rPr>
  </w:style>
  <w:style w:type="character" w:customStyle="1" w:styleId="PidipaginaCarattere">
    <w:name w:val="Piè di pagina Carattere"/>
    <w:basedOn w:val="Carpredefinitoparagrafo"/>
    <w:link w:val="Pidipagina"/>
    <w:rPr>
      <w:color w:val="7F7F7F" w:themeColor="text1" w:themeTint="80"/>
      <w:sz w:val="16"/>
      <w:szCs w:val="16"/>
    </w:rPr>
  </w:style>
  <w:style w:type="paragraph" w:styleId="Corpotesto">
    <w:name w:val="Body Text"/>
    <w:basedOn w:val="Normale"/>
    <w:link w:val="CorpotestoCarattere"/>
    <w:pPr>
      <w:spacing w:after="200"/>
    </w:pPr>
  </w:style>
  <w:style w:type="table" w:customStyle="1" w:styleId="FinancialTable">
    <w:name w:val="Financial Table"/>
    <w:basedOn w:val="Tabellanormale"/>
    <w:tblPr>
      <w:tblStyleRowBandSize w:val="1"/>
    </w:tblPr>
    <w:tblStylePr w:type="firstRow">
      <w:rPr>
        <w:color w:val="FFFFFF" w:themeColor="background1"/>
      </w:rPr>
      <w:tblPr/>
      <w:tcPr>
        <w:shd w:val="clear" w:color="auto" w:fill="7F7F7F" w:themeFill="text1" w:themeFillTint="80"/>
      </w:tcPr>
    </w:tblStylePr>
    <w:tblStylePr w:type="lastRow">
      <w:rPr>
        <w:color w:val="FFFFFF" w:themeColor="background1"/>
      </w:rPr>
      <w:tblPr/>
      <w:tcPr>
        <w:tcBorders>
          <w:top w:val="single" w:sz="18" w:space="0" w:color="7F7F7F" w:themeColor="accent1" w:themeShade="E6"/>
        </w:tcBorders>
      </w:tcPr>
    </w:tblStylePr>
    <w:tblStylePr w:type="band2Horz">
      <w:tblPr/>
      <w:tcPr>
        <w:shd w:val="clear" w:color="auto" w:fill="8D8D8D" w:themeFill="accent1"/>
      </w:tcPr>
    </w:tblStylePr>
  </w:style>
  <w:style w:type="paragraph" w:customStyle="1" w:styleId="TableText-Left">
    <w:name w:val="Table Text - Left"/>
    <w:basedOn w:val="Normale"/>
    <w:pPr>
      <w:spacing w:before="50" w:after="50"/>
    </w:pPr>
    <w:rPr>
      <w:sz w:val="18"/>
      <w:szCs w:val="18"/>
    </w:rPr>
  </w:style>
  <w:style w:type="paragraph" w:customStyle="1" w:styleId="TableText-Decimal">
    <w:name w:val="Table Text - Decimal"/>
    <w:basedOn w:val="Normale"/>
    <w:pPr>
      <w:tabs>
        <w:tab w:val="decimal" w:pos="714"/>
      </w:tabs>
      <w:spacing w:before="50" w:after="50"/>
    </w:pPr>
    <w:rPr>
      <w:sz w:val="18"/>
      <w:szCs w:val="18"/>
    </w:rPr>
  </w:style>
  <w:style w:type="paragraph" w:customStyle="1" w:styleId="TableText-Right">
    <w:name w:val="Table Text - Right"/>
    <w:basedOn w:val="Normale"/>
    <w:pPr>
      <w:spacing w:before="50" w:after="50"/>
      <w:jc w:val="right"/>
    </w:pPr>
    <w:rPr>
      <w:sz w:val="18"/>
      <w:szCs w:val="18"/>
    </w:rPr>
  </w:style>
  <w:style w:type="paragraph" w:customStyle="1" w:styleId="TableHeading-Left">
    <w:name w:val="Table Heading - Left"/>
    <w:basedOn w:val="Normale"/>
    <w:qFormat/>
    <w:rsid w:val="006C7028"/>
    <w:pPr>
      <w:spacing w:before="60" w:after="60"/>
    </w:pPr>
    <w:rPr>
      <w:b/>
      <w:bCs/>
      <w:color w:val="727272" w:themeColor="accent2"/>
      <w:szCs w:val="20"/>
    </w:rPr>
  </w:style>
  <w:style w:type="paragraph" w:customStyle="1" w:styleId="TableHeading-Center">
    <w:name w:val="Table Heading - Center"/>
    <w:basedOn w:val="TableHeading-Left"/>
    <w:qFormat/>
    <w:rsid w:val="006C7028"/>
    <w:pPr>
      <w:jc w:val="left"/>
    </w:pPr>
    <w:rPr>
      <w:b w:val="0"/>
    </w:rPr>
  </w:style>
  <w:style w:type="table" w:customStyle="1" w:styleId="HeaderTable">
    <w:name w:val="Header Table"/>
    <w:basedOn w:val="Tabellanormale"/>
    <w:tblPr>
      <w:tblStyleRowBandSize w:val="1"/>
      <w:jc w:val="center"/>
      <w:tblCellMar>
        <w:left w:w="0" w:type="dxa"/>
        <w:right w:w="0" w:type="dxa"/>
      </w:tblCellMar>
    </w:tblPr>
    <w:trPr>
      <w:jc w:val="center"/>
    </w:trPr>
    <w:tcPr>
      <w:vAlign w:val="bottom"/>
    </w:tcPr>
    <w:tblStylePr w:type="firstRow">
      <w:tblPr/>
      <w:tcPr>
        <w:tcBorders>
          <w:bottom w:val="single" w:sz="24" w:space="0" w:color="FFFFFF" w:themeColor="background1"/>
        </w:tcBorders>
        <w:shd w:val="clear" w:color="auto" w:fill="E3E3E3" w:themeFill="text2"/>
      </w:tcPr>
    </w:tblStylePr>
    <w:tblStylePr w:type="band1Horz">
      <w:tblPr/>
      <w:tcPr>
        <w:shd w:val="clear" w:color="auto" w:fill="B2B2B2" w:themeFill="background2"/>
      </w:tcPr>
    </w:tblStylePr>
    <w:tblStylePr w:type="band2Horz">
      <w:tblPr/>
      <w:tcPr>
        <w:shd w:val="clear" w:color="auto" w:fill="8D8D8D" w:themeFill="accent1"/>
      </w:tcPr>
    </w:tblStylePr>
  </w:style>
  <w:style w:type="paragraph" w:customStyle="1" w:styleId="Header-Details">
    <w:name w:val="Header - Details"/>
    <w:basedOn w:val="Normale"/>
    <w:rPr>
      <w:color w:val="FFFFFF" w:themeColor="background1"/>
      <w:sz w:val="16"/>
      <w:szCs w:val="16"/>
    </w:rPr>
  </w:style>
  <w:style w:type="table" w:customStyle="1" w:styleId="CoverTable">
    <w:name w:val="Cover Table"/>
    <w:basedOn w:val="Tabellanormale"/>
    <w:tblPr>
      <w:tblStyleRowBandSize w:val="1"/>
      <w:jc w:val="center"/>
      <w:tblCellMar>
        <w:left w:w="0" w:type="dxa"/>
        <w:right w:w="0" w:type="dxa"/>
      </w:tblCellMar>
    </w:tblPr>
    <w:trPr>
      <w:jc w:val="center"/>
    </w:trPr>
    <w:tcPr>
      <w:shd w:val="clear" w:color="auto" w:fill="E3E3E3" w:themeFill="text2"/>
    </w:tcPr>
    <w:tblStylePr w:type="firstRow">
      <w:tblPr/>
      <w:tcPr>
        <w:shd w:val="clear" w:color="auto" w:fill="B2B2B2" w:themeFill="background2"/>
      </w:tcPr>
    </w:tblStylePr>
    <w:tblStylePr w:type="lastRow">
      <w:tblPr/>
      <w:tcPr>
        <w:shd w:val="clear" w:color="auto" w:fill="595959" w:themeFill="text1" w:themeFillTint="A6"/>
      </w:tcPr>
    </w:tblStylePr>
    <w:tblStylePr w:type="band1Horz">
      <w:tblPr/>
      <w:tcPr>
        <w:shd w:val="clear" w:color="auto" w:fill="8D8D8D" w:themeFill="accent1"/>
      </w:tcPr>
    </w:tblStylePr>
    <w:tblStylePr w:type="band2Horz">
      <w:tblPr/>
      <w:tcPr>
        <w:shd w:val="clear" w:color="auto" w:fill="595959" w:themeFill="text1" w:themeFillTint="A6"/>
      </w:tcPr>
    </w:tblStylePr>
  </w:style>
  <w:style w:type="paragraph" w:customStyle="1" w:styleId="Spacebetween">
    <w:name w:val="Space between"/>
    <w:basedOn w:val="Normale"/>
    <w:pPr>
      <w:spacing w:line="40" w:lineRule="exact"/>
    </w:pPr>
  </w:style>
  <w:style w:type="paragraph" w:customStyle="1" w:styleId="Header-Left">
    <w:name w:val="Header-Left"/>
    <w:basedOn w:val="Normale"/>
    <w:rPr>
      <w:b/>
      <w:color w:val="B2B2B2" w:themeColor="background2"/>
      <w:sz w:val="32"/>
      <w:szCs w:val="32"/>
    </w:rPr>
  </w:style>
  <w:style w:type="paragraph" w:styleId="Data">
    <w:name w:val="Date"/>
    <w:basedOn w:val="Normale"/>
    <w:next w:val="Normale"/>
    <w:link w:val="DataCarattere"/>
    <w:pPr>
      <w:spacing w:line="1000" w:lineRule="exact"/>
      <w:jc w:val="right"/>
    </w:pPr>
    <w:rPr>
      <w:color w:val="8D8D8D" w:themeColor="accent1"/>
    </w:rPr>
  </w:style>
  <w:style w:type="character" w:customStyle="1" w:styleId="DataCarattere">
    <w:name w:val="Data Carattere"/>
    <w:basedOn w:val="Carpredefinitoparagrafo"/>
    <w:link w:val="Data"/>
    <w:rPr>
      <w:color w:val="8D8D8D" w:themeColor="accent1"/>
      <w:sz w:val="20"/>
    </w:rPr>
  </w:style>
  <w:style w:type="paragraph" w:customStyle="1" w:styleId="Header-Continued">
    <w:name w:val="Header - Continued"/>
    <w:basedOn w:val="Normale"/>
    <w:pPr>
      <w:spacing w:after="60" w:line="400" w:lineRule="exact"/>
      <w:jc w:val="right"/>
    </w:pPr>
    <w:rPr>
      <w:b/>
      <w:caps/>
      <w:color w:val="8D8D8D" w:themeColor="accent1"/>
      <w:sz w:val="40"/>
      <w:szCs w:val="24"/>
    </w:rPr>
  </w:style>
  <w:style w:type="paragraph" w:customStyle="1" w:styleId="Page">
    <w:name w:val="Page"/>
    <w:basedOn w:val="Normale"/>
    <w:pPr>
      <w:spacing w:after="40"/>
      <w:ind w:right="144"/>
      <w:jc w:val="right"/>
    </w:pPr>
    <w:rPr>
      <w:b/>
      <w:color w:val="8D8D8D" w:themeColor="accent1"/>
      <w:sz w:val="18"/>
      <w:szCs w:val="18"/>
    </w:rPr>
  </w:style>
  <w:style w:type="table" w:customStyle="1" w:styleId="CoverCenter">
    <w:name w:val="Cover Center"/>
    <w:basedOn w:val="Tabellanormale"/>
    <w:tblPr>
      <w:jc w:val="center"/>
      <w:tblCellMar>
        <w:top w:w="432" w:type="dxa"/>
        <w:left w:w="432" w:type="dxa"/>
        <w:bottom w:w="432" w:type="dxa"/>
        <w:right w:w="432" w:type="dxa"/>
      </w:tblCellMar>
    </w:tblPr>
    <w:trPr>
      <w:jc w:val="center"/>
    </w:trPr>
  </w:style>
  <w:style w:type="paragraph" w:customStyle="1" w:styleId="Header-Continued2">
    <w:name w:val="Header - Continued2"/>
    <w:basedOn w:val="Header-Continued"/>
    <w:rPr>
      <w:color w:val="B2B2B2" w:themeColor="background2"/>
    </w:rPr>
  </w:style>
  <w:style w:type="paragraph" w:customStyle="1" w:styleId="Date-Continued">
    <w:name w:val="Date - Continued"/>
    <w:basedOn w:val="Data"/>
    <w:pPr>
      <w:spacing w:after="60" w:line="400" w:lineRule="exact"/>
      <w:jc w:val="left"/>
    </w:pPr>
  </w:style>
  <w:style w:type="character" w:customStyle="1" w:styleId="CorpotestoCarattere">
    <w:name w:val="Corpo testo Carattere"/>
    <w:basedOn w:val="Carpredefinitoparagrafo"/>
    <w:link w:val="Corpotesto"/>
    <w:rPr>
      <w:color w:val="7F7F7F" w:themeColor="text1" w:themeTint="80"/>
      <w:sz w:val="20"/>
    </w:rPr>
  </w:style>
  <w:style w:type="paragraph" w:styleId="Testofumetto">
    <w:name w:val="Balloon Text"/>
    <w:basedOn w:val="Normale"/>
    <w:link w:val="TestofumettoCarattere"/>
    <w:semiHidden/>
    <w:unhideWhenUsed/>
    <w:rPr>
      <w:rFonts w:ascii="Tahoma" w:hAnsi="Tahoma" w:cs="Tahoma"/>
      <w:sz w:val="16"/>
      <w:szCs w:val="16"/>
    </w:rPr>
  </w:style>
  <w:style w:type="character" w:customStyle="1" w:styleId="TestofumettoCarattere">
    <w:name w:val="Testo fumetto Carattere"/>
    <w:basedOn w:val="Carpredefinitoparagrafo"/>
    <w:link w:val="Testofumetto"/>
    <w:semiHidden/>
    <w:rPr>
      <w:rFonts w:ascii="Tahoma" w:hAnsi="Tahoma" w:cs="Tahoma"/>
      <w:color w:val="7F7F7F" w:themeColor="text1" w:themeTint="80"/>
      <w:sz w:val="16"/>
      <w:szCs w:val="16"/>
    </w:rPr>
  </w:style>
  <w:style w:type="paragraph" w:styleId="Titolo">
    <w:name w:val="Title"/>
    <w:aliases w:val="Titolo Principale"/>
    <w:basedOn w:val="Normale"/>
    <w:next w:val="Normale"/>
    <w:link w:val="TitoloCarattere"/>
    <w:qFormat/>
    <w:rsid w:val="003E76A6"/>
    <w:pPr>
      <w:jc w:val="left"/>
    </w:pPr>
    <w:rPr>
      <w:b/>
      <w:bCs/>
      <w:color w:val="727272" w:themeColor="accent2"/>
      <w:sz w:val="52"/>
      <w:szCs w:val="28"/>
    </w:rPr>
  </w:style>
  <w:style w:type="character" w:customStyle="1" w:styleId="TitoloCarattere">
    <w:name w:val="Titolo Carattere"/>
    <w:aliases w:val="Titolo Principale Carattere"/>
    <w:basedOn w:val="Carpredefinitoparagrafo"/>
    <w:link w:val="Titolo"/>
    <w:rsid w:val="003E76A6"/>
    <w:rPr>
      <w:rFonts w:ascii="Helvetica" w:hAnsi="Helvetica"/>
      <w:b/>
      <w:bCs/>
      <w:color w:val="727272" w:themeColor="accent2"/>
      <w:sz w:val="52"/>
      <w:szCs w:val="28"/>
    </w:rPr>
  </w:style>
  <w:style w:type="paragraph" w:styleId="Bibliografia">
    <w:name w:val="Bibliography"/>
    <w:basedOn w:val="Normale"/>
    <w:next w:val="Normale"/>
    <w:semiHidden/>
    <w:unhideWhenUsed/>
  </w:style>
  <w:style w:type="paragraph" w:styleId="Testodelblocco">
    <w:name w:val="Block Text"/>
    <w:basedOn w:val="Normale"/>
    <w:semiHidden/>
    <w:unhideWhenUsed/>
    <w:pPr>
      <w:pBdr>
        <w:top w:val="single" w:sz="2" w:space="10" w:color="8D8D8D" w:themeColor="accent1" w:shadow="1"/>
        <w:left w:val="single" w:sz="2" w:space="10" w:color="8D8D8D" w:themeColor="accent1" w:shadow="1"/>
        <w:bottom w:val="single" w:sz="2" w:space="10" w:color="8D8D8D" w:themeColor="accent1" w:shadow="1"/>
        <w:right w:val="single" w:sz="2" w:space="10" w:color="8D8D8D" w:themeColor="accent1" w:shadow="1"/>
      </w:pBdr>
      <w:ind w:left="1152" w:right="1152"/>
    </w:pPr>
    <w:rPr>
      <w:i/>
      <w:iCs/>
      <w:color w:val="8D8D8D" w:themeColor="accent1"/>
    </w:rPr>
  </w:style>
  <w:style w:type="paragraph" w:styleId="Corpodeltesto2">
    <w:name w:val="Body Text 2"/>
    <w:basedOn w:val="Normale"/>
    <w:link w:val="Corpodeltesto2Carattere"/>
    <w:semiHidden/>
    <w:unhideWhenUsed/>
    <w:pPr>
      <w:ind w:left="360"/>
    </w:pPr>
  </w:style>
  <w:style w:type="paragraph" w:styleId="Corpodeltesto3">
    <w:name w:val="Body Text 3"/>
    <w:basedOn w:val="Normale"/>
    <w:link w:val="Corpodeltesto3Carattere"/>
    <w:semiHidden/>
    <w:unhideWhenUsed/>
    <w:rPr>
      <w:sz w:val="16"/>
      <w:szCs w:val="16"/>
    </w:rPr>
  </w:style>
  <w:style w:type="character" w:customStyle="1" w:styleId="Corpodeltesto3Carattere">
    <w:name w:val="Corpo del testo 3 Carattere"/>
    <w:basedOn w:val="Carpredefinitoparagrafo"/>
    <w:link w:val="Corpodeltesto3"/>
    <w:semiHidden/>
    <w:rPr>
      <w:color w:val="7F7F7F" w:themeColor="text1" w:themeTint="80"/>
      <w:sz w:val="16"/>
      <w:szCs w:val="16"/>
    </w:rPr>
  </w:style>
  <w:style w:type="paragraph" w:styleId="Primorientrocorpodeltesto">
    <w:name w:val="Body Text First Indent"/>
    <w:basedOn w:val="Corpotesto"/>
    <w:link w:val="PrimorientrocorpodeltestoCarattere"/>
    <w:semiHidden/>
    <w:unhideWhenUsed/>
    <w:pPr>
      <w:spacing w:after="0"/>
      <w:ind w:firstLine="360"/>
      <w:jc w:val="left"/>
    </w:pPr>
  </w:style>
  <w:style w:type="character" w:customStyle="1" w:styleId="PrimorientrocorpodeltestoCarattere">
    <w:name w:val="Primo rientro corpo del testo Carattere"/>
    <w:basedOn w:val="CorpotestoCarattere"/>
    <w:link w:val="Primorientrocorpodeltesto"/>
    <w:semiHidden/>
    <w:rPr>
      <w:color w:val="7F7F7F" w:themeColor="text1" w:themeTint="80"/>
      <w:sz w:val="20"/>
    </w:rPr>
  </w:style>
  <w:style w:type="character" w:customStyle="1" w:styleId="Corpodeltesto2Carattere">
    <w:name w:val="Corpo del testo 2 Carattere"/>
    <w:basedOn w:val="Carpredefinitoparagrafo"/>
    <w:link w:val="Corpodeltesto2"/>
    <w:semiHidden/>
    <w:rPr>
      <w:color w:val="7F7F7F" w:themeColor="text1" w:themeTint="80"/>
      <w:sz w:val="20"/>
    </w:rPr>
  </w:style>
  <w:style w:type="paragraph" w:styleId="Primorientrocorpodeltesto2">
    <w:name w:val="Body Text First Indent 2"/>
    <w:basedOn w:val="Corpodeltesto2"/>
    <w:link w:val="Primorientrocorpodeltesto2Carattere"/>
    <w:semiHidden/>
    <w:unhideWhenUsed/>
    <w:pPr>
      <w:spacing w:after="0"/>
      <w:ind w:firstLine="360"/>
    </w:pPr>
  </w:style>
  <w:style w:type="character" w:customStyle="1" w:styleId="Primorientrocorpodeltesto2Carattere">
    <w:name w:val="Primo rientro corpo del testo 2 Carattere"/>
    <w:basedOn w:val="Corpodeltesto2Carattere"/>
    <w:link w:val="Primorientrocorpodeltesto2"/>
    <w:semiHidden/>
    <w:rPr>
      <w:color w:val="7F7F7F" w:themeColor="text1" w:themeTint="80"/>
      <w:sz w:val="20"/>
    </w:rPr>
  </w:style>
  <w:style w:type="paragraph" w:styleId="Rientrocorpodeltesto2">
    <w:name w:val="Body Text Indent 2"/>
    <w:basedOn w:val="Normale"/>
    <w:link w:val="Rientrocorpodeltesto2Carattere"/>
    <w:semiHidden/>
    <w:unhideWhenUsed/>
    <w:pPr>
      <w:spacing w:line="480" w:lineRule="auto"/>
      <w:ind w:left="360"/>
    </w:pPr>
  </w:style>
  <w:style w:type="character" w:customStyle="1" w:styleId="Rientrocorpodeltesto2Carattere">
    <w:name w:val="Rientro corpo del testo 2 Carattere"/>
    <w:basedOn w:val="Carpredefinitoparagrafo"/>
    <w:link w:val="Rientrocorpodeltesto2"/>
    <w:semiHidden/>
    <w:rPr>
      <w:color w:val="7F7F7F" w:themeColor="text1" w:themeTint="80"/>
      <w:sz w:val="20"/>
    </w:rPr>
  </w:style>
  <w:style w:type="paragraph" w:styleId="Rientrocorpodeltesto3">
    <w:name w:val="Body Text Indent 3"/>
    <w:basedOn w:val="Normale"/>
    <w:link w:val="Rientrocorpodeltesto3Carattere"/>
    <w:semiHidden/>
    <w:unhideWhenUsed/>
    <w:pPr>
      <w:ind w:left="360"/>
    </w:pPr>
    <w:rPr>
      <w:sz w:val="16"/>
      <w:szCs w:val="16"/>
    </w:rPr>
  </w:style>
  <w:style w:type="character" w:customStyle="1" w:styleId="Rientrocorpodeltesto3Carattere">
    <w:name w:val="Rientro corpo del testo 3 Carattere"/>
    <w:basedOn w:val="Carpredefinitoparagrafo"/>
    <w:link w:val="Rientrocorpodeltesto3"/>
    <w:semiHidden/>
    <w:rPr>
      <w:color w:val="7F7F7F" w:themeColor="text1" w:themeTint="80"/>
      <w:sz w:val="16"/>
      <w:szCs w:val="16"/>
    </w:rPr>
  </w:style>
  <w:style w:type="paragraph" w:styleId="Didascalia">
    <w:name w:val="caption"/>
    <w:basedOn w:val="Normale"/>
    <w:next w:val="Normale"/>
    <w:semiHidden/>
    <w:unhideWhenUsed/>
    <w:qFormat/>
    <w:pPr>
      <w:spacing w:after="200"/>
    </w:pPr>
    <w:rPr>
      <w:b/>
      <w:bCs/>
      <w:color w:val="8D8D8D" w:themeColor="accent1"/>
      <w:sz w:val="18"/>
      <w:szCs w:val="18"/>
    </w:rPr>
  </w:style>
  <w:style w:type="paragraph" w:styleId="Formuladichiusura">
    <w:name w:val="Closing"/>
    <w:basedOn w:val="Normale"/>
    <w:link w:val="FormuladichiusuraCarattere"/>
    <w:semiHidden/>
    <w:unhideWhenUsed/>
    <w:pPr>
      <w:ind w:left="4320"/>
    </w:pPr>
  </w:style>
  <w:style w:type="character" w:customStyle="1" w:styleId="FormuladichiusuraCarattere">
    <w:name w:val="Formula di chiusura Carattere"/>
    <w:basedOn w:val="Carpredefinitoparagrafo"/>
    <w:link w:val="Formuladichiusura"/>
    <w:semiHidden/>
    <w:rPr>
      <w:color w:val="7F7F7F" w:themeColor="text1" w:themeTint="80"/>
      <w:sz w:val="20"/>
    </w:rPr>
  </w:style>
  <w:style w:type="paragraph" w:styleId="Testocommento">
    <w:name w:val="annotation text"/>
    <w:basedOn w:val="Normale"/>
    <w:link w:val="TestocommentoCarattere"/>
    <w:semiHidden/>
    <w:unhideWhenUsed/>
    <w:rPr>
      <w:szCs w:val="20"/>
    </w:rPr>
  </w:style>
  <w:style w:type="character" w:customStyle="1" w:styleId="TestocommentoCarattere">
    <w:name w:val="Testo commento Carattere"/>
    <w:basedOn w:val="Carpredefinitoparagrafo"/>
    <w:link w:val="Testocommento"/>
    <w:semiHidden/>
    <w:rPr>
      <w:color w:val="7F7F7F" w:themeColor="text1" w:themeTint="80"/>
      <w:sz w:val="20"/>
      <w:szCs w:val="20"/>
    </w:rPr>
  </w:style>
  <w:style w:type="paragraph" w:styleId="Soggettocommento">
    <w:name w:val="annotation subject"/>
    <w:basedOn w:val="Testocommento"/>
    <w:next w:val="Testocommento"/>
    <w:link w:val="SoggettocommentoCarattere"/>
    <w:semiHidden/>
    <w:unhideWhenUsed/>
    <w:rPr>
      <w:b/>
      <w:bCs/>
    </w:rPr>
  </w:style>
  <w:style w:type="character" w:customStyle="1" w:styleId="SoggettocommentoCarattere">
    <w:name w:val="Soggetto commento Carattere"/>
    <w:basedOn w:val="TestocommentoCarattere"/>
    <w:link w:val="Soggettocommento"/>
    <w:semiHidden/>
    <w:rPr>
      <w:b/>
      <w:bCs/>
      <w:color w:val="7F7F7F" w:themeColor="text1" w:themeTint="80"/>
      <w:sz w:val="20"/>
      <w:szCs w:val="20"/>
    </w:rPr>
  </w:style>
  <w:style w:type="paragraph" w:styleId="Mappadocumento">
    <w:name w:val="Document Map"/>
    <w:basedOn w:val="Normale"/>
    <w:link w:val="MappadocumentoCarattere"/>
    <w:semiHidden/>
    <w:unhideWhenUsed/>
    <w:rPr>
      <w:rFonts w:ascii="Tahoma" w:hAnsi="Tahoma" w:cs="Tahoma"/>
      <w:sz w:val="16"/>
      <w:szCs w:val="16"/>
    </w:rPr>
  </w:style>
  <w:style w:type="character" w:customStyle="1" w:styleId="MappadocumentoCarattere">
    <w:name w:val="Mappa documento Carattere"/>
    <w:basedOn w:val="Carpredefinitoparagrafo"/>
    <w:link w:val="Mappadocumento"/>
    <w:semiHidden/>
    <w:rPr>
      <w:rFonts w:ascii="Tahoma" w:hAnsi="Tahoma" w:cs="Tahoma"/>
      <w:color w:val="7F7F7F" w:themeColor="text1" w:themeTint="80"/>
      <w:sz w:val="16"/>
      <w:szCs w:val="16"/>
    </w:rPr>
  </w:style>
  <w:style w:type="paragraph" w:styleId="Firmadipostaelettronica">
    <w:name w:val="E-mail Signature"/>
    <w:basedOn w:val="Normale"/>
    <w:link w:val="FirmadipostaelettronicaCarattere"/>
    <w:semiHidden/>
    <w:unhideWhenUsed/>
  </w:style>
  <w:style w:type="character" w:customStyle="1" w:styleId="FirmadipostaelettronicaCarattere">
    <w:name w:val="Firma di posta elettronica Carattere"/>
    <w:basedOn w:val="Carpredefinitoparagrafo"/>
    <w:link w:val="Firmadipostaelettronica"/>
    <w:semiHidden/>
    <w:rPr>
      <w:color w:val="7F7F7F" w:themeColor="text1" w:themeTint="80"/>
      <w:sz w:val="20"/>
    </w:rPr>
  </w:style>
  <w:style w:type="paragraph" w:styleId="Testonotadichiusura">
    <w:name w:val="endnote text"/>
    <w:basedOn w:val="Normale"/>
    <w:link w:val="TestonotadichiusuraCarattere"/>
    <w:semiHidden/>
    <w:unhideWhenUsed/>
    <w:rPr>
      <w:szCs w:val="20"/>
    </w:rPr>
  </w:style>
  <w:style w:type="character" w:customStyle="1" w:styleId="TestonotadichiusuraCarattere">
    <w:name w:val="Testo nota di chiusura Carattere"/>
    <w:basedOn w:val="Carpredefinitoparagrafo"/>
    <w:link w:val="Testonotadichiusura"/>
    <w:semiHidden/>
    <w:rPr>
      <w:color w:val="7F7F7F" w:themeColor="text1" w:themeTint="80"/>
      <w:sz w:val="20"/>
      <w:szCs w:val="20"/>
    </w:rPr>
  </w:style>
  <w:style w:type="paragraph" w:styleId="Indirizzodestinatario">
    <w:name w:val="envelope address"/>
    <w:basedOn w:val="Normale"/>
    <w:semiHidden/>
    <w:unhideWhenUsed/>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Indirizzomittente">
    <w:name w:val="envelope return"/>
    <w:basedOn w:val="Normale"/>
    <w:semiHidden/>
    <w:unhideWhenUsed/>
    <w:rPr>
      <w:rFonts w:asciiTheme="majorHAnsi" w:eastAsiaTheme="majorEastAsia" w:hAnsiTheme="majorHAnsi" w:cstheme="majorBidi"/>
      <w:szCs w:val="20"/>
    </w:rPr>
  </w:style>
  <w:style w:type="paragraph" w:styleId="Testonotaapidipagina">
    <w:name w:val="footnote text"/>
    <w:basedOn w:val="Normale"/>
    <w:link w:val="TestonotaapidipaginaCarattere"/>
    <w:unhideWhenUsed/>
    <w:qFormat/>
    <w:rsid w:val="000321AA"/>
    <w:pPr>
      <w:contextualSpacing w:val="0"/>
    </w:pPr>
    <w:rPr>
      <w:color w:val="595959" w:themeColor="text1" w:themeTint="A6"/>
      <w:sz w:val="18"/>
      <w:szCs w:val="20"/>
    </w:rPr>
  </w:style>
  <w:style w:type="character" w:customStyle="1" w:styleId="TestonotaapidipaginaCarattere">
    <w:name w:val="Testo nota a piè di pagina Carattere"/>
    <w:basedOn w:val="Carpredefinitoparagrafo"/>
    <w:link w:val="Testonotaapidipagina"/>
    <w:rsid w:val="000321AA"/>
    <w:rPr>
      <w:rFonts w:ascii="Helvetica" w:hAnsi="Helvetica"/>
      <w:color w:val="595959" w:themeColor="text1" w:themeTint="A6"/>
      <w:sz w:val="18"/>
      <w:szCs w:val="20"/>
    </w:rPr>
  </w:style>
  <w:style w:type="character" w:customStyle="1" w:styleId="Titolo2Carattere">
    <w:name w:val="Titolo 2 Carattere"/>
    <w:basedOn w:val="Carpredefinitoparagrafo"/>
    <w:link w:val="Titolo2"/>
    <w:semiHidden/>
    <w:rPr>
      <w:rFonts w:asciiTheme="majorHAnsi" w:eastAsiaTheme="majorEastAsia" w:hAnsiTheme="majorHAnsi" w:cstheme="majorBidi"/>
      <w:b/>
      <w:bCs/>
      <w:color w:val="8D8D8D" w:themeColor="accent1"/>
      <w:sz w:val="26"/>
      <w:szCs w:val="26"/>
    </w:rPr>
  </w:style>
  <w:style w:type="character" w:customStyle="1" w:styleId="Titolo3Carattere">
    <w:name w:val="Titolo 3 Carattere"/>
    <w:basedOn w:val="Carpredefinitoparagrafo"/>
    <w:link w:val="Titolo3"/>
    <w:semiHidden/>
    <w:rPr>
      <w:rFonts w:asciiTheme="majorHAnsi" w:eastAsiaTheme="majorEastAsia" w:hAnsiTheme="majorHAnsi" w:cstheme="majorBidi"/>
      <w:b/>
      <w:bCs/>
      <w:color w:val="8D8D8D" w:themeColor="accent1"/>
      <w:sz w:val="20"/>
    </w:rPr>
  </w:style>
  <w:style w:type="character" w:customStyle="1" w:styleId="Titolo4Carattere">
    <w:name w:val="Titolo 4 Carattere"/>
    <w:basedOn w:val="Carpredefinitoparagrafo"/>
    <w:link w:val="Titolo4"/>
    <w:semiHidden/>
    <w:rPr>
      <w:rFonts w:asciiTheme="majorHAnsi" w:eastAsiaTheme="majorEastAsia" w:hAnsiTheme="majorHAnsi" w:cstheme="majorBidi"/>
      <w:b/>
      <w:bCs/>
      <w:i/>
      <w:iCs/>
      <w:color w:val="8D8D8D" w:themeColor="accent1"/>
      <w:sz w:val="20"/>
    </w:rPr>
  </w:style>
  <w:style w:type="character" w:customStyle="1" w:styleId="Titolo5Carattere">
    <w:name w:val="Titolo 5 Carattere"/>
    <w:basedOn w:val="Carpredefinitoparagrafo"/>
    <w:link w:val="Titolo5"/>
    <w:semiHidden/>
    <w:rPr>
      <w:rFonts w:asciiTheme="majorHAnsi" w:eastAsiaTheme="majorEastAsia" w:hAnsiTheme="majorHAnsi" w:cstheme="majorBidi"/>
      <w:color w:val="464646" w:themeColor="accent1" w:themeShade="7F"/>
      <w:sz w:val="20"/>
    </w:rPr>
  </w:style>
  <w:style w:type="character" w:customStyle="1" w:styleId="Titolo6Carattere">
    <w:name w:val="Titolo 6 Carattere"/>
    <w:basedOn w:val="Carpredefinitoparagrafo"/>
    <w:link w:val="Titolo6"/>
    <w:semiHidden/>
    <w:rPr>
      <w:rFonts w:asciiTheme="majorHAnsi" w:eastAsiaTheme="majorEastAsia" w:hAnsiTheme="majorHAnsi" w:cstheme="majorBidi"/>
      <w:i/>
      <w:iCs/>
      <w:color w:val="464646" w:themeColor="accent1" w:themeShade="7F"/>
      <w:sz w:val="20"/>
    </w:rPr>
  </w:style>
  <w:style w:type="character" w:customStyle="1" w:styleId="Titolo7Carattere">
    <w:name w:val="Titolo 7 Carattere"/>
    <w:basedOn w:val="Carpredefinitoparagrafo"/>
    <w:link w:val="Titolo7"/>
    <w:semiHidden/>
    <w:rPr>
      <w:rFonts w:asciiTheme="majorHAnsi" w:eastAsiaTheme="majorEastAsia" w:hAnsiTheme="majorHAnsi" w:cstheme="majorBidi"/>
      <w:i/>
      <w:iCs/>
      <w:color w:val="404040" w:themeColor="text1" w:themeTint="BF"/>
      <w:sz w:val="20"/>
    </w:rPr>
  </w:style>
  <w:style w:type="character" w:customStyle="1" w:styleId="Titolo8Carattere">
    <w:name w:val="Titolo 8 Carattere"/>
    <w:basedOn w:val="Carpredefinitoparagrafo"/>
    <w:link w:val="Titolo8"/>
    <w:semiHidden/>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semiHidden/>
    <w:rPr>
      <w:rFonts w:asciiTheme="majorHAnsi" w:eastAsiaTheme="majorEastAsia" w:hAnsiTheme="majorHAnsi" w:cstheme="majorBidi"/>
      <w:i/>
      <w:iCs/>
      <w:color w:val="404040" w:themeColor="text1" w:themeTint="BF"/>
      <w:sz w:val="20"/>
      <w:szCs w:val="20"/>
    </w:rPr>
  </w:style>
  <w:style w:type="paragraph" w:styleId="IndirizzoHTML">
    <w:name w:val="HTML Address"/>
    <w:basedOn w:val="Normale"/>
    <w:link w:val="IndirizzoHTMLCarattere"/>
    <w:semiHidden/>
    <w:unhideWhenUsed/>
    <w:rPr>
      <w:i/>
      <w:iCs/>
    </w:rPr>
  </w:style>
  <w:style w:type="character" w:customStyle="1" w:styleId="IndirizzoHTMLCarattere">
    <w:name w:val="Indirizzo HTML Carattere"/>
    <w:basedOn w:val="Carpredefinitoparagrafo"/>
    <w:link w:val="IndirizzoHTML"/>
    <w:semiHidden/>
    <w:rPr>
      <w:i/>
      <w:iCs/>
      <w:color w:val="7F7F7F" w:themeColor="text1" w:themeTint="80"/>
      <w:sz w:val="20"/>
    </w:rPr>
  </w:style>
  <w:style w:type="paragraph" w:styleId="PreformattatoHTML">
    <w:name w:val="HTML Preformatted"/>
    <w:basedOn w:val="Normale"/>
    <w:link w:val="PreformattatoHTMLCarattere"/>
    <w:semiHidden/>
    <w:unhideWhenUsed/>
    <w:rPr>
      <w:rFonts w:ascii="Consolas" w:hAnsi="Consolas"/>
      <w:szCs w:val="20"/>
    </w:rPr>
  </w:style>
  <w:style w:type="character" w:customStyle="1" w:styleId="PreformattatoHTMLCarattere">
    <w:name w:val="Preformattato HTML Carattere"/>
    <w:basedOn w:val="Carpredefinitoparagrafo"/>
    <w:link w:val="PreformattatoHTML"/>
    <w:semiHidden/>
    <w:rPr>
      <w:rFonts w:ascii="Consolas" w:hAnsi="Consolas"/>
      <w:color w:val="7F7F7F" w:themeColor="text1" w:themeTint="80"/>
      <w:sz w:val="20"/>
      <w:szCs w:val="20"/>
    </w:rPr>
  </w:style>
  <w:style w:type="paragraph" w:styleId="Indice1">
    <w:name w:val="index 1"/>
    <w:basedOn w:val="Normale"/>
    <w:next w:val="Normale"/>
    <w:autoRedefine/>
    <w:semiHidden/>
    <w:unhideWhenUsed/>
    <w:pPr>
      <w:ind w:left="200" w:hanging="200"/>
    </w:pPr>
  </w:style>
  <w:style w:type="paragraph" w:styleId="Indice2">
    <w:name w:val="index 2"/>
    <w:basedOn w:val="Normale"/>
    <w:next w:val="Normale"/>
    <w:autoRedefine/>
    <w:semiHidden/>
    <w:unhideWhenUsed/>
    <w:pPr>
      <w:ind w:left="400" w:hanging="200"/>
    </w:pPr>
  </w:style>
  <w:style w:type="paragraph" w:styleId="Indice3">
    <w:name w:val="index 3"/>
    <w:basedOn w:val="Normale"/>
    <w:next w:val="Normale"/>
    <w:autoRedefine/>
    <w:semiHidden/>
    <w:unhideWhenUsed/>
    <w:pPr>
      <w:ind w:left="600" w:hanging="200"/>
    </w:pPr>
  </w:style>
  <w:style w:type="paragraph" w:styleId="Indice4">
    <w:name w:val="index 4"/>
    <w:basedOn w:val="Normale"/>
    <w:next w:val="Normale"/>
    <w:autoRedefine/>
    <w:semiHidden/>
    <w:unhideWhenUsed/>
    <w:pPr>
      <w:ind w:left="800" w:hanging="200"/>
    </w:pPr>
  </w:style>
  <w:style w:type="paragraph" w:styleId="Indice5">
    <w:name w:val="index 5"/>
    <w:basedOn w:val="Normale"/>
    <w:next w:val="Normale"/>
    <w:autoRedefine/>
    <w:semiHidden/>
    <w:unhideWhenUsed/>
    <w:pPr>
      <w:ind w:left="1000" w:hanging="200"/>
    </w:pPr>
  </w:style>
  <w:style w:type="paragraph" w:styleId="Indice6">
    <w:name w:val="index 6"/>
    <w:basedOn w:val="Normale"/>
    <w:next w:val="Normale"/>
    <w:autoRedefine/>
    <w:semiHidden/>
    <w:unhideWhenUsed/>
    <w:pPr>
      <w:ind w:left="1200" w:hanging="200"/>
    </w:pPr>
  </w:style>
  <w:style w:type="paragraph" w:styleId="Indice7">
    <w:name w:val="index 7"/>
    <w:basedOn w:val="Normale"/>
    <w:next w:val="Normale"/>
    <w:autoRedefine/>
    <w:semiHidden/>
    <w:unhideWhenUsed/>
    <w:pPr>
      <w:ind w:left="1400" w:hanging="200"/>
    </w:pPr>
  </w:style>
  <w:style w:type="paragraph" w:styleId="Indice8">
    <w:name w:val="index 8"/>
    <w:basedOn w:val="Normale"/>
    <w:next w:val="Normale"/>
    <w:autoRedefine/>
    <w:semiHidden/>
    <w:unhideWhenUsed/>
    <w:pPr>
      <w:ind w:left="1600" w:hanging="200"/>
    </w:pPr>
  </w:style>
  <w:style w:type="paragraph" w:styleId="Indice9">
    <w:name w:val="index 9"/>
    <w:basedOn w:val="Normale"/>
    <w:next w:val="Normale"/>
    <w:autoRedefine/>
    <w:semiHidden/>
    <w:unhideWhenUsed/>
    <w:pPr>
      <w:ind w:left="1800" w:hanging="200"/>
    </w:pPr>
  </w:style>
  <w:style w:type="paragraph" w:styleId="Titoloindice">
    <w:name w:val="index heading"/>
    <w:basedOn w:val="Normale"/>
    <w:next w:val="Indice1"/>
    <w:semiHidden/>
    <w:unhideWhenUsed/>
    <w:rPr>
      <w:rFonts w:asciiTheme="majorHAnsi" w:eastAsiaTheme="majorEastAsia" w:hAnsiTheme="majorHAnsi" w:cstheme="majorBidi"/>
      <w:b/>
      <w:bCs/>
    </w:rPr>
  </w:style>
  <w:style w:type="paragraph" w:styleId="Citazioneintensa">
    <w:name w:val="Intense Quote"/>
    <w:basedOn w:val="Normale"/>
    <w:next w:val="Normale"/>
    <w:link w:val="CitazioneintensaCarattere"/>
    <w:qFormat/>
    <w:pPr>
      <w:pBdr>
        <w:bottom w:val="single" w:sz="4" w:space="4" w:color="8D8D8D" w:themeColor="accent1"/>
      </w:pBdr>
      <w:spacing w:before="200" w:after="280"/>
      <w:ind w:left="936" w:right="936"/>
    </w:pPr>
    <w:rPr>
      <w:b/>
      <w:bCs/>
      <w:i/>
      <w:iCs/>
      <w:color w:val="8D8D8D" w:themeColor="accent1"/>
    </w:rPr>
  </w:style>
  <w:style w:type="character" w:customStyle="1" w:styleId="CitazioneintensaCarattere">
    <w:name w:val="Citazione intensa Carattere"/>
    <w:basedOn w:val="Carpredefinitoparagrafo"/>
    <w:link w:val="Citazioneintensa"/>
    <w:rPr>
      <w:b/>
      <w:bCs/>
      <w:i/>
      <w:iCs/>
      <w:color w:val="8D8D8D" w:themeColor="accent1"/>
      <w:sz w:val="20"/>
    </w:rPr>
  </w:style>
  <w:style w:type="paragraph" w:styleId="Elenco">
    <w:name w:val="List"/>
    <w:basedOn w:val="Normale"/>
    <w:semiHidden/>
    <w:unhideWhenUsed/>
    <w:pPr>
      <w:ind w:left="360" w:hanging="360"/>
    </w:pPr>
  </w:style>
  <w:style w:type="paragraph" w:styleId="Elenco2">
    <w:name w:val="List 2"/>
    <w:basedOn w:val="Normale"/>
    <w:semiHidden/>
    <w:unhideWhenUsed/>
    <w:pPr>
      <w:ind w:left="720" w:hanging="360"/>
    </w:pPr>
  </w:style>
  <w:style w:type="paragraph" w:styleId="Elenco3">
    <w:name w:val="List 3"/>
    <w:basedOn w:val="Normale"/>
    <w:semiHidden/>
    <w:unhideWhenUsed/>
    <w:pPr>
      <w:ind w:left="1080" w:hanging="360"/>
    </w:pPr>
  </w:style>
  <w:style w:type="paragraph" w:styleId="Elenco4">
    <w:name w:val="List 4"/>
    <w:basedOn w:val="Normale"/>
    <w:semiHidden/>
    <w:unhideWhenUsed/>
    <w:pPr>
      <w:ind w:left="1440" w:hanging="360"/>
    </w:pPr>
  </w:style>
  <w:style w:type="paragraph" w:styleId="Elenco5">
    <w:name w:val="List 5"/>
    <w:basedOn w:val="Normale"/>
    <w:semiHidden/>
    <w:unhideWhenUsed/>
    <w:pPr>
      <w:ind w:left="1800" w:hanging="360"/>
    </w:pPr>
  </w:style>
  <w:style w:type="paragraph" w:styleId="Puntoelenco">
    <w:name w:val="List Bullet"/>
    <w:basedOn w:val="Normale"/>
    <w:semiHidden/>
    <w:unhideWhenUsed/>
    <w:pPr>
      <w:numPr>
        <w:numId w:val="1"/>
      </w:numPr>
    </w:pPr>
  </w:style>
  <w:style w:type="paragraph" w:styleId="Puntoelenco2">
    <w:name w:val="List Bullet 2"/>
    <w:basedOn w:val="Normale"/>
    <w:semiHidden/>
    <w:unhideWhenUsed/>
    <w:pPr>
      <w:numPr>
        <w:numId w:val="2"/>
      </w:numPr>
    </w:pPr>
  </w:style>
  <w:style w:type="paragraph" w:styleId="Puntoelenco3">
    <w:name w:val="List Bullet 3"/>
    <w:basedOn w:val="Normale"/>
    <w:semiHidden/>
    <w:unhideWhenUsed/>
    <w:pPr>
      <w:numPr>
        <w:numId w:val="3"/>
      </w:numPr>
    </w:pPr>
  </w:style>
  <w:style w:type="paragraph" w:styleId="Puntoelenco4">
    <w:name w:val="List Bullet 4"/>
    <w:basedOn w:val="Normale"/>
    <w:semiHidden/>
    <w:unhideWhenUsed/>
    <w:pPr>
      <w:numPr>
        <w:numId w:val="4"/>
      </w:numPr>
    </w:pPr>
  </w:style>
  <w:style w:type="paragraph" w:styleId="Puntoelenco5">
    <w:name w:val="List Bullet 5"/>
    <w:basedOn w:val="Normale"/>
    <w:semiHidden/>
    <w:unhideWhenUsed/>
    <w:pPr>
      <w:numPr>
        <w:numId w:val="5"/>
      </w:numPr>
    </w:pPr>
  </w:style>
  <w:style w:type="paragraph" w:styleId="Elencocontinua">
    <w:name w:val="List Continue"/>
    <w:basedOn w:val="Normale"/>
    <w:semiHidden/>
    <w:unhideWhenUsed/>
    <w:pPr>
      <w:ind w:left="360"/>
    </w:pPr>
  </w:style>
  <w:style w:type="paragraph" w:styleId="Elencocontinua2">
    <w:name w:val="List Continue 2"/>
    <w:basedOn w:val="Normale"/>
    <w:semiHidden/>
    <w:unhideWhenUsed/>
    <w:pPr>
      <w:ind w:left="720"/>
    </w:pPr>
  </w:style>
  <w:style w:type="paragraph" w:styleId="Elencocontinua3">
    <w:name w:val="List Continue 3"/>
    <w:basedOn w:val="Normale"/>
    <w:semiHidden/>
    <w:unhideWhenUsed/>
    <w:pPr>
      <w:ind w:left="1080"/>
    </w:pPr>
  </w:style>
  <w:style w:type="paragraph" w:styleId="Elencocontinua4">
    <w:name w:val="List Continue 4"/>
    <w:basedOn w:val="Normale"/>
    <w:semiHidden/>
    <w:unhideWhenUsed/>
    <w:pPr>
      <w:ind w:left="1440"/>
    </w:pPr>
  </w:style>
  <w:style w:type="paragraph" w:styleId="Elencocontinua5">
    <w:name w:val="List Continue 5"/>
    <w:basedOn w:val="Normale"/>
    <w:semiHidden/>
    <w:unhideWhenUsed/>
    <w:pPr>
      <w:ind w:left="1800"/>
    </w:pPr>
  </w:style>
  <w:style w:type="paragraph" w:styleId="Numeroelenco">
    <w:name w:val="List Number"/>
    <w:basedOn w:val="Normale"/>
    <w:semiHidden/>
    <w:unhideWhenUsed/>
    <w:pPr>
      <w:numPr>
        <w:numId w:val="6"/>
      </w:numPr>
    </w:pPr>
  </w:style>
  <w:style w:type="paragraph" w:styleId="Numeroelenco2">
    <w:name w:val="List Number 2"/>
    <w:basedOn w:val="Normale"/>
    <w:semiHidden/>
    <w:unhideWhenUsed/>
    <w:pPr>
      <w:numPr>
        <w:numId w:val="7"/>
      </w:numPr>
    </w:pPr>
  </w:style>
  <w:style w:type="paragraph" w:styleId="Numeroelenco3">
    <w:name w:val="List Number 3"/>
    <w:basedOn w:val="Normale"/>
    <w:semiHidden/>
    <w:unhideWhenUsed/>
    <w:pPr>
      <w:numPr>
        <w:numId w:val="8"/>
      </w:numPr>
    </w:pPr>
  </w:style>
  <w:style w:type="paragraph" w:styleId="Numeroelenco4">
    <w:name w:val="List Number 4"/>
    <w:basedOn w:val="Normale"/>
    <w:semiHidden/>
    <w:unhideWhenUsed/>
    <w:pPr>
      <w:numPr>
        <w:numId w:val="9"/>
      </w:numPr>
    </w:pPr>
  </w:style>
  <w:style w:type="paragraph" w:styleId="Numeroelenco5">
    <w:name w:val="List Number 5"/>
    <w:basedOn w:val="Normale"/>
    <w:semiHidden/>
    <w:unhideWhenUsed/>
    <w:pPr>
      <w:numPr>
        <w:numId w:val="10"/>
      </w:numPr>
    </w:pPr>
  </w:style>
  <w:style w:type="paragraph" w:styleId="Paragrafoelenco">
    <w:name w:val="List Paragraph"/>
    <w:basedOn w:val="Normale"/>
    <w:qFormat/>
    <w:pPr>
      <w:ind w:left="720"/>
    </w:pPr>
  </w:style>
  <w:style w:type="paragraph" w:styleId="Testomacro">
    <w:name w:val="macro"/>
    <w:link w:val="TestomacroCarattere"/>
    <w:semiHidden/>
    <w:unhideWhenUse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nsolas" w:hAnsi="Consolas"/>
      <w:color w:val="7F7F7F" w:themeColor="text1" w:themeTint="80"/>
      <w:sz w:val="20"/>
      <w:szCs w:val="20"/>
    </w:rPr>
  </w:style>
  <w:style w:type="character" w:customStyle="1" w:styleId="TestomacroCarattere">
    <w:name w:val="Testo macro Carattere"/>
    <w:basedOn w:val="Carpredefinitoparagrafo"/>
    <w:link w:val="Testomacro"/>
    <w:semiHidden/>
    <w:rPr>
      <w:rFonts w:ascii="Consolas" w:hAnsi="Consolas"/>
      <w:color w:val="7F7F7F" w:themeColor="text1" w:themeTint="80"/>
      <w:sz w:val="20"/>
      <w:szCs w:val="20"/>
    </w:rPr>
  </w:style>
  <w:style w:type="paragraph" w:styleId="Intestazionemessaggio">
    <w:name w:val="Message Header"/>
    <w:basedOn w:val="Normale"/>
    <w:link w:val="IntestazionemessaggioCarattere"/>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IntestazionemessaggioCarattere">
    <w:name w:val="Intestazione messaggio Carattere"/>
    <w:basedOn w:val="Carpredefinitoparagrafo"/>
    <w:link w:val="Intestazionemessaggio"/>
    <w:semiHidden/>
    <w:rPr>
      <w:rFonts w:asciiTheme="majorHAnsi" w:eastAsiaTheme="majorEastAsia" w:hAnsiTheme="majorHAnsi" w:cstheme="majorBidi"/>
      <w:color w:val="7F7F7F" w:themeColor="text1" w:themeTint="80"/>
      <w:sz w:val="24"/>
      <w:szCs w:val="24"/>
      <w:shd w:val="pct20" w:color="auto" w:fill="auto"/>
    </w:rPr>
  </w:style>
  <w:style w:type="paragraph" w:styleId="Nessunaspaziatura">
    <w:name w:val="No Spacing"/>
    <w:qFormat/>
    <w:rPr>
      <w:color w:val="7F7F7F" w:themeColor="text1" w:themeTint="80"/>
      <w:sz w:val="20"/>
    </w:rPr>
  </w:style>
  <w:style w:type="paragraph" w:styleId="NormaleWeb">
    <w:name w:val="Normal (Web)"/>
    <w:basedOn w:val="Normale"/>
    <w:semiHidden/>
    <w:unhideWhenUsed/>
    <w:rPr>
      <w:rFonts w:ascii="Times New Roman" w:hAnsi="Times New Roman" w:cs="Times New Roman"/>
      <w:szCs w:val="24"/>
    </w:rPr>
  </w:style>
  <w:style w:type="paragraph" w:styleId="Rientronormale">
    <w:name w:val="Normal Indent"/>
    <w:basedOn w:val="Normale"/>
    <w:semiHidden/>
    <w:unhideWhenUsed/>
    <w:pPr>
      <w:ind w:left="720"/>
    </w:pPr>
  </w:style>
  <w:style w:type="paragraph" w:styleId="Intestazionenota">
    <w:name w:val="Note Heading"/>
    <w:basedOn w:val="Normale"/>
    <w:next w:val="Normale"/>
    <w:link w:val="IntestazionenotaCarattere"/>
    <w:semiHidden/>
    <w:unhideWhenUsed/>
  </w:style>
  <w:style w:type="character" w:customStyle="1" w:styleId="IntestazionenotaCarattere">
    <w:name w:val="Intestazione nota Carattere"/>
    <w:basedOn w:val="Carpredefinitoparagrafo"/>
    <w:link w:val="Intestazionenota"/>
    <w:semiHidden/>
    <w:rPr>
      <w:color w:val="7F7F7F" w:themeColor="text1" w:themeTint="80"/>
      <w:sz w:val="20"/>
    </w:rPr>
  </w:style>
  <w:style w:type="paragraph" w:styleId="Testonormale">
    <w:name w:val="Plain Text"/>
    <w:basedOn w:val="Normale"/>
    <w:link w:val="TestonormaleCarattere"/>
    <w:semiHidden/>
    <w:unhideWhenUsed/>
    <w:rPr>
      <w:rFonts w:ascii="Consolas" w:hAnsi="Consolas"/>
      <w:sz w:val="21"/>
      <w:szCs w:val="21"/>
    </w:rPr>
  </w:style>
  <w:style w:type="character" w:customStyle="1" w:styleId="TestonormaleCarattere">
    <w:name w:val="Testo normale Carattere"/>
    <w:basedOn w:val="Carpredefinitoparagrafo"/>
    <w:link w:val="Testonormale"/>
    <w:semiHidden/>
    <w:rPr>
      <w:rFonts w:ascii="Consolas" w:hAnsi="Consolas"/>
      <w:color w:val="7F7F7F" w:themeColor="text1" w:themeTint="80"/>
      <w:sz w:val="21"/>
      <w:szCs w:val="21"/>
    </w:rPr>
  </w:style>
  <w:style w:type="paragraph" w:styleId="Citazione">
    <w:name w:val="Quote"/>
    <w:basedOn w:val="Normale"/>
    <w:next w:val="Normale"/>
    <w:link w:val="CitazioneCarattere"/>
    <w:qFormat/>
    <w:rPr>
      <w:i/>
      <w:iCs/>
      <w:color w:val="000000" w:themeColor="text1"/>
    </w:rPr>
  </w:style>
  <w:style w:type="character" w:customStyle="1" w:styleId="CitazioneCarattere">
    <w:name w:val="Citazione Carattere"/>
    <w:basedOn w:val="Carpredefinitoparagrafo"/>
    <w:link w:val="Citazione"/>
    <w:rPr>
      <w:i/>
      <w:iCs/>
      <w:color w:val="000000" w:themeColor="text1"/>
      <w:sz w:val="20"/>
    </w:rPr>
  </w:style>
  <w:style w:type="paragraph" w:styleId="Formuladiapertura">
    <w:name w:val="Salutation"/>
    <w:basedOn w:val="Normale"/>
    <w:next w:val="Normale"/>
    <w:link w:val="FormuladiaperturaCarattere"/>
    <w:semiHidden/>
    <w:unhideWhenUsed/>
  </w:style>
  <w:style w:type="character" w:customStyle="1" w:styleId="FormuladiaperturaCarattere">
    <w:name w:val="Formula di apertura Carattere"/>
    <w:basedOn w:val="Carpredefinitoparagrafo"/>
    <w:link w:val="Formuladiapertura"/>
    <w:semiHidden/>
    <w:rPr>
      <w:color w:val="7F7F7F" w:themeColor="text1" w:themeTint="80"/>
      <w:sz w:val="20"/>
    </w:rPr>
  </w:style>
  <w:style w:type="paragraph" w:styleId="Firma">
    <w:name w:val="Signature"/>
    <w:basedOn w:val="Normale"/>
    <w:link w:val="FirmaCarattere"/>
    <w:semiHidden/>
    <w:unhideWhenUsed/>
    <w:pPr>
      <w:ind w:left="4320"/>
    </w:pPr>
  </w:style>
  <w:style w:type="character" w:customStyle="1" w:styleId="FirmaCarattere">
    <w:name w:val="Firma Carattere"/>
    <w:basedOn w:val="Carpredefinitoparagrafo"/>
    <w:link w:val="Firma"/>
    <w:semiHidden/>
    <w:rPr>
      <w:color w:val="7F7F7F" w:themeColor="text1" w:themeTint="80"/>
      <w:sz w:val="20"/>
    </w:rPr>
  </w:style>
  <w:style w:type="paragraph" w:styleId="Indicefonti">
    <w:name w:val="table of authorities"/>
    <w:basedOn w:val="Normale"/>
    <w:next w:val="Normale"/>
    <w:semiHidden/>
    <w:unhideWhenUsed/>
    <w:pPr>
      <w:ind w:left="200" w:hanging="200"/>
    </w:pPr>
  </w:style>
  <w:style w:type="paragraph" w:styleId="Indicedellefigure">
    <w:name w:val="table of figures"/>
    <w:basedOn w:val="Normale"/>
    <w:next w:val="Normale"/>
    <w:semiHidden/>
    <w:unhideWhenUsed/>
  </w:style>
  <w:style w:type="paragraph" w:styleId="Titoloindicefonti">
    <w:name w:val="toa heading"/>
    <w:basedOn w:val="Normale"/>
    <w:next w:val="Normale"/>
    <w:semiHidden/>
    <w:unhideWhenUsed/>
    <w:pPr>
      <w:spacing w:before="120"/>
    </w:pPr>
    <w:rPr>
      <w:rFonts w:asciiTheme="majorHAnsi" w:eastAsiaTheme="majorEastAsia" w:hAnsiTheme="majorHAnsi" w:cstheme="majorBidi"/>
      <w:b/>
      <w:bCs/>
      <w:szCs w:val="24"/>
    </w:rPr>
  </w:style>
  <w:style w:type="paragraph" w:styleId="Sommario1">
    <w:name w:val="toc 1"/>
    <w:basedOn w:val="Normale"/>
    <w:next w:val="Normale"/>
    <w:link w:val="Sommario1Carattere"/>
    <w:autoRedefine/>
    <w:uiPriority w:val="39"/>
    <w:unhideWhenUsed/>
    <w:pPr>
      <w:spacing w:after="100"/>
    </w:pPr>
  </w:style>
  <w:style w:type="paragraph" w:styleId="Sommario2">
    <w:name w:val="toc 2"/>
    <w:basedOn w:val="Normale"/>
    <w:next w:val="Normale"/>
    <w:autoRedefine/>
    <w:semiHidden/>
    <w:unhideWhenUsed/>
    <w:pPr>
      <w:spacing w:after="100"/>
      <w:ind w:left="200"/>
    </w:pPr>
  </w:style>
  <w:style w:type="paragraph" w:styleId="Sommario3">
    <w:name w:val="toc 3"/>
    <w:basedOn w:val="Normale"/>
    <w:next w:val="Normale"/>
    <w:autoRedefine/>
    <w:semiHidden/>
    <w:unhideWhenUsed/>
    <w:pPr>
      <w:spacing w:after="100"/>
      <w:ind w:left="400"/>
    </w:pPr>
  </w:style>
  <w:style w:type="paragraph" w:styleId="Sommario4">
    <w:name w:val="toc 4"/>
    <w:basedOn w:val="Normale"/>
    <w:next w:val="Normale"/>
    <w:autoRedefine/>
    <w:semiHidden/>
    <w:unhideWhenUsed/>
    <w:pPr>
      <w:spacing w:after="100"/>
      <w:ind w:left="600"/>
    </w:pPr>
  </w:style>
  <w:style w:type="paragraph" w:styleId="Sommario5">
    <w:name w:val="toc 5"/>
    <w:basedOn w:val="Normale"/>
    <w:next w:val="Normale"/>
    <w:autoRedefine/>
    <w:semiHidden/>
    <w:unhideWhenUsed/>
    <w:pPr>
      <w:spacing w:after="100"/>
      <w:ind w:left="800"/>
    </w:pPr>
  </w:style>
  <w:style w:type="paragraph" w:styleId="Sommario6">
    <w:name w:val="toc 6"/>
    <w:basedOn w:val="Normale"/>
    <w:next w:val="Normale"/>
    <w:autoRedefine/>
    <w:semiHidden/>
    <w:unhideWhenUsed/>
    <w:pPr>
      <w:spacing w:after="100"/>
      <w:ind w:left="1000"/>
    </w:pPr>
  </w:style>
  <w:style w:type="paragraph" w:styleId="Sommario7">
    <w:name w:val="toc 7"/>
    <w:basedOn w:val="Normale"/>
    <w:next w:val="Normale"/>
    <w:autoRedefine/>
    <w:semiHidden/>
    <w:unhideWhenUsed/>
    <w:pPr>
      <w:spacing w:after="100"/>
      <w:ind w:left="1200"/>
    </w:pPr>
  </w:style>
  <w:style w:type="paragraph" w:styleId="Sommario8">
    <w:name w:val="toc 8"/>
    <w:basedOn w:val="Normale"/>
    <w:next w:val="Normale"/>
    <w:autoRedefine/>
    <w:semiHidden/>
    <w:unhideWhenUsed/>
    <w:pPr>
      <w:spacing w:after="100"/>
      <w:ind w:left="1400"/>
    </w:pPr>
  </w:style>
  <w:style w:type="paragraph" w:styleId="Sommario9">
    <w:name w:val="toc 9"/>
    <w:basedOn w:val="Normale"/>
    <w:next w:val="Normale"/>
    <w:autoRedefine/>
    <w:semiHidden/>
    <w:unhideWhenUsed/>
    <w:pPr>
      <w:spacing w:after="100"/>
      <w:ind w:left="1600"/>
    </w:pPr>
  </w:style>
  <w:style w:type="paragraph" w:styleId="Titolosommario">
    <w:name w:val="TOC Heading"/>
    <w:basedOn w:val="Titolo1"/>
    <w:next w:val="Normale"/>
    <w:uiPriority w:val="39"/>
    <w:unhideWhenUsed/>
    <w:qFormat/>
    <w:pPr>
      <w:spacing w:before="480" w:after="0" w:line="288" w:lineRule="auto"/>
      <w:outlineLvl w:val="9"/>
    </w:pPr>
    <w:rPr>
      <w:b w:val="0"/>
      <w:color w:val="696969" w:themeColor="accent1" w:themeShade="BF"/>
      <w:sz w:val="28"/>
      <w:szCs w:val="28"/>
    </w:rPr>
  </w:style>
  <w:style w:type="paragraph" w:customStyle="1" w:styleId="Picture">
    <w:name w:val="Picture"/>
    <w:basedOn w:val="Normale"/>
    <w:pPr>
      <w:ind w:left="-58" w:right="-58"/>
    </w:pPr>
    <w:rPr>
      <w:noProof/>
      <w:color w:val="FFFFFF" w:themeColor="background1"/>
    </w:rPr>
  </w:style>
  <w:style w:type="character" w:customStyle="1" w:styleId="TitleChar">
    <w:name w:val="Title Char"/>
    <w:basedOn w:val="Carpredefinitoparagrafo"/>
    <w:rsid w:val="00D66C38"/>
    <w:rPr>
      <w:rFonts w:eastAsiaTheme="minorHAnsi"/>
      <w:b/>
      <w:caps/>
      <w:color w:val="8D8D8D" w:themeColor="accent1"/>
      <w:sz w:val="100"/>
      <w:szCs w:val="100"/>
    </w:rPr>
  </w:style>
  <w:style w:type="character" w:styleId="Numeropagina">
    <w:name w:val="page number"/>
    <w:basedOn w:val="Carpredefinitoparagrafo"/>
    <w:uiPriority w:val="99"/>
    <w:unhideWhenUsed/>
    <w:rsid w:val="004B6913"/>
    <w:rPr>
      <w:rFonts w:ascii="Helvetica" w:hAnsi="Helvetica"/>
      <w:caps w:val="0"/>
      <w:smallCaps w:val="0"/>
      <w:strike w:val="0"/>
      <w:dstrike w:val="0"/>
      <w:vanish w:val="0"/>
      <w:color w:val="828381"/>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Rimandonotaapidipagina">
    <w:name w:val="footnote reference"/>
    <w:basedOn w:val="Carpredefinitoparagrafo"/>
    <w:unhideWhenUsed/>
    <w:rsid w:val="00536912"/>
    <w:rPr>
      <w:vertAlign w:val="superscript"/>
    </w:rPr>
  </w:style>
  <w:style w:type="paragraph" w:customStyle="1" w:styleId="SottoTitoloPrincipale">
    <w:name w:val="Sotto Titolo Principale"/>
    <w:basedOn w:val="Normale"/>
    <w:qFormat/>
    <w:rsid w:val="00ED63B0"/>
    <w:pPr>
      <w:spacing w:after="200"/>
      <w:jc w:val="left"/>
    </w:pPr>
    <w:rPr>
      <w:rFonts w:eastAsia="Times New Roman" w:cs="Times New Roman"/>
      <w:color w:val="727272" w:themeColor="accent2"/>
      <w:sz w:val="28"/>
      <w:szCs w:val="28"/>
    </w:rPr>
  </w:style>
  <w:style w:type="paragraph" w:customStyle="1" w:styleId="Sottosottotitoloprincipale">
    <w:name w:val="Sotto sotto titolo principale"/>
    <w:basedOn w:val="Titolo"/>
    <w:link w:val="SottosottotitoloprincipaleCarattere"/>
    <w:qFormat/>
    <w:rsid w:val="004E717C"/>
    <w:rPr>
      <w:b w:val="0"/>
    </w:rPr>
  </w:style>
  <w:style w:type="character" w:customStyle="1" w:styleId="SottosottotitoloprincipaleCarattere">
    <w:name w:val="Sotto sotto titolo principale Carattere"/>
    <w:basedOn w:val="TitoloCarattere"/>
    <w:link w:val="Sottosottotitoloprincipale"/>
    <w:rsid w:val="004E717C"/>
    <w:rPr>
      <w:rFonts w:ascii="Helvetica" w:hAnsi="Helvetica"/>
      <w:b w:val="0"/>
      <w:bCs/>
      <w:color w:val="828381"/>
      <w:sz w:val="28"/>
      <w:szCs w:val="28"/>
    </w:rPr>
  </w:style>
  <w:style w:type="table" w:styleId="Grigliatabella">
    <w:name w:val="Table Grid"/>
    <w:basedOn w:val="Tabellanormale"/>
    <w:uiPriority w:val="59"/>
    <w:rsid w:val="00617D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IsfolBase">
    <w:name w:val="Tabella Isfol Base"/>
    <w:basedOn w:val="FinancialTable"/>
    <w:uiPriority w:val="99"/>
    <w:rsid w:val="00DF46D3"/>
    <w:rPr>
      <w:rFonts w:ascii="Helvetica" w:hAnsi="Helvetica"/>
      <w:sz w:val="16"/>
      <w:szCs w:val="16"/>
    </w:rPr>
    <w:tblPr>
      <w:tblBorders>
        <w:top w:val="single" w:sz="4" w:space="0" w:color="auto"/>
        <w:bottom w:val="single" w:sz="4" w:space="0" w:color="auto"/>
        <w:insideH w:val="single" w:sz="4" w:space="0" w:color="auto"/>
      </w:tblBorders>
      <w:tblCellMar>
        <w:top w:w="57" w:type="dxa"/>
        <w:bottom w:w="57" w:type="dxa"/>
      </w:tblCellMar>
    </w:tblPr>
    <w:tcPr>
      <w:shd w:val="clear" w:color="auto" w:fill="auto"/>
      <w:tcMar>
        <w:top w:w="57" w:type="dxa"/>
        <w:bottom w:w="57" w:type="dxa"/>
      </w:tcMar>
      <w:vAlign w:val="center"/>
    </w:tcPr>
    <w:tblStylePr w:type="firstRow">
      <w:pPr>
        <w:wordWrap/>
        <w:spacing w:beforeLines="30" w:before="30" w:beforeAutospacing="0" w:afterLines="30" w:after="30" w:afterAutospacing="0"/>
      </w:pPr>
      <w:rPr>
        <w:rFonts w:ascii="Helvetica" w:hAnsi="Helvetica"/>
        <w:b/>
        <w:bCs/>
        <w:i w:val="0"/>
        <w:iCs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tblPr/>
      <w:tcPr>
        <w:tcBorders>
          <w:top w:val="single" w:sz="4" w:space="0" w:color="auto"/>
          <w:left w:val="nil"/>
          <w:bottom w:val="single" w:sz="4" w:space="0" w:color="auto"/>
          <w:right w:val="nil"/>
        </w:tcBorders>
        <w:shd w:val="clear" w:color="auto" w:fill="auto"/>
      </w:tcPr>
    </w:tblStylePr>
    <w:tblStylePr w:type="lastRow">
      <w:rPr>
        <w:rFonts w:ascii="Helvetica" w:hAnsi="Helvetica"/>
        <w:color w:val="auto"/>
      </w:rPr>
      <w:tblPr/>
      <w:tcPr>
        <w:tcBorders>
          <w:top w:val="nil"/>
          <w:left w:val="nil"/>
          <w:bottom w:val="nil"/>
          <w:right w:val="nil"/>
        </w:tcBorders>
        <w:shd w:val="clear" w:color="auto" w:fill="auto"/>
      </w:tcPr>
    </w:tblStylePr>
    <w:tblStylePr w:type="band1Horz">
      <w:tblPr/>
      <w:tcPr>
        <w:shd w:val="clear" w:color="auto" w:fill="FFFFFF" w:themeFill="background1"/>
      </w:tcPr>
    </w:tblStylePr>
    <w:tblStylePr w:type="band2Horz">
      <w:tblPr/>
      <w:tcPr>
        <w:shd w:val="clear" w:color="auto" w:fill="FFFFFF" w:themeFill="background1"/>
      </w:tcPr>
    </w:tblStylePr>
    <w:tblStylePr w:type="nwCell">
      <w:pPr>
        <w:wordWrap/>
        <w:spacing w:beforeLines="0" w:before="100" w:beforeAutospacing="0" w:line="240" w:lineRule="auto"/>
      </w:pPr>
    </w:tblStylePr>
  </w:style>
  <w:style w:type="paragraph" w:styleId="Revisione">
    <w:name w:val="Revision"/>
    <w:hidden/>
    <w:uiPriority w:val="99"/>
    <w:semiHidden/>
    <w:rsid w:val="0036213B"/>
    <w:rPr>
      <w:rFonts w:ascii="Helvetica" w:hAnsi="Helvetica"/>
      <w:sz w:val="20"/>
    </w:rPr>
  </w:style>
  <w:style w:type="paragraph" w:customStyle="1" w:styleId="Fontetabella">
    <w:name w:val="Fonte tabella"/>
    <w:basedOn w:val="Normale"/>
    <w:next w:val="Normale"/>
    <w:link w:val="FontetabellaCarattere"/>
    <w:qFormat/>
    <w:rsid w:val="00670886"/>
    <w:pPr>
      <w:spacing w:before="120"/>
    </w:pPr>
    <w:rPr>
      <w:sz w:val="16"/>
    </w:rPr>
  </w:style>
  <w:style w:type="character" w:customStyle="1" w:styleId="FontetabellaCarattere">
    <w:name w:val="Fonte tabella Carattere"/>
    <w:basedOn w:val="Carpredefinitoparagrafo"/>
    <w:link w:val="Fontetabella"/>
    <w:rsid w:val="00670886"/>
    <w:rPr>
      <w:rFonts w:ascii="Helvetica" w:hAnsi="Helvetica"/>
      <w:sz w:val="16"/>
    </w:rPr>
  </w:style>
  <w:style w:type="paragraph" w:customStyle="1" w:styleId="TitoloTabella">
    <w:name w:val="Titolo Tabella"/>
    <w:basedOn w:val="Normale"/>
    <w:qFormat/>
    <w:rsid w:val="0026490A"/>
    <w:rPr>
      <w:b/>
      <w:color w:val="000000" w:themeColor="text1"/>
    </w:rPr>
  </w:style>
  <w:style w:type="paragraph" w:customStyle="1" w:styleId="TitoloFrontespizio">
    <w:name w:val="Titolo Frontespizio"/>
    <w:basedOn w:val="Titolo"/>
    <w:next w:val="Normale"/>
    <w:link w:val="TitoloFrontespizioCarattere"/>
    <w:rsid w:val="00DF46D3"/>
    <w:rPr>
      <w:caps/>
      <w:color w:val="1E2B86" w:themeColor="accent5"/>
      <w:sz w:val="48"/>
      <w:szCs w:val="48"/>
    </w:rPr>
  </w:style>
  <w:style w:type="character" w:customStyle="1" w:styleId="TitoloFrontespizioCarattere">
    <w:name w:val="Titolo Frontespizio Carattere"/>
    <w:basedOn w:val="Titolo1Carattere"/>
    <w:link w:val="TitoloFrontespizio"/>
    <w:rsid w:val="00DF46D3"/>
    <w:rPr>
      <w:rFonts w:ascii="Helvetica" w:eastAsiaTheme="majorEastAsia" w:hAnsi="Helvetica" w:cstheme="majorBidi"/>
      <w:b/>
      <w:bCs/>
      <w:caps/>
      <w:color w:val="1E2B86" w:themeColor="accent5"/>
      <w:sz w:val="48"/>
      <w:szCs w:val="48"/>
    </w:rPr>
  </w:style>
  <w:style w:type="paragraph" w:customStyle="1" w:styleId="ISFOLAutori">
    <w:name w:val="ISFOL Autori"/>
    <w:basedOn w:val="Sottosottotitoloprincipale"/>
    <w:link w:val="ISFOLAutoriCarattere"/>
    <w:qFormat/>
    <w:rsid w:val="003E76A6"/>
    <w:rPr>
      <w:b/>
      <w:color w:val="656565" w:themeColor="accent3"/>
      <w:sz w:val="38"/>
    </w:rPr>
  </w:style>
  <w:style w:type="paragraph" w:customStyle="1" w:styleId="ISFOLdata">
    <w:name w:val="ISFOL data"/>
    <w:basedOn w:val="Normale"/>
    <w:link w:val="ISFOLdataCarattere"/>
    <w:qFormat/>
    <w:rsid w:val="003E76A6"/>
    <w:rPr>
      <w:color w:val="727272" w:themeColor="accent2"/>
      <w:sz w:val="24"/>
      <w:lang w:val="it-IT"/>
    </w:rPr>
  </w:style>
  <w:style w:type="character" w:customStyle="1" w:styleId="ISFOLAutoriCarattere">
    <w:name w:val="ISFOL Autori Carattere"/>
    <w:basedOn w:val="SottosottotitoloprincipaleCarattere"/>
    <w:link w:val="ISFOLAutori"/>
    <w:rsid w:val="003E76A6"/>
    <w:rPr>
      <w:rFonts w:ascii="Helvetica" w:hAnsi="Helvetica"/>
      <w:b/>
      <w:bCs/>
      <w:color w:val="656565" w:themeColor="accent3"/>
      <w:sz w:val="38"/>
      <w:szCs w:val="28"/>
    </w:rPr>
  </w:style>
  <w:style w:type="character" w:customStyle="1" w:styleId="ISFOLdataCarattere">
    <w:name w:val="ISFOL data Carattere"/>
    <w:basedOn w:val="Carpredefinitoparagrafo"/>
    <w:link w:val="ISFOLdata"/>
    <w:rsid w:val="003E76A6"/>
    <w:rPr>
      <w:rFonts w:ascii="Helvetica" w:hAnsi="Helvetica"/>
      <w:color w:val="727272" w:themeColor="accent2"/>
      <w:sz w:val="24"/>
      <w:lang w:val="it-IT"/>
    </w:rPr>
  </w:style>
  <w:style w:type="paragraph" w:customStyle="1" w:styleId="Inglese">
    <w:name w:val="Inglese"/>
    <w:basedOn w:val="Normale"/>
    <w:link w:val="IngleseCarattere"/>
    <w:qFormat/>
    <w:rsid w:val="001115FB"/>
    <w:rPr>
      <w:i/>
      <w:lang w:val="it-IT"/>
    </w:rPr>
  </w:style>
  <w:style w:type="character" w:styleId="Collegamentoipertestuale">
    <w:name w:val="Hyperlink"/>
    <w:basedOn w:val="Carpredefinitoparagrafo"/>
    <w:uiPriority w:val="99"/>
    <w:unhideWhenUsed/>
    <w:rsid w:val="001115FB"/>
    <w:rPr>
      <w:color w:val="0077B3" w:themeColor="hyperlink"/>
      <w:u w:val="single"/>
    </w:rPr>
  </w:style>
  <w:style w:type="character" w:customStyle="1" w:styleId="IngleseCarattere">
    <w:name w:val="Inglese Carattere"/>
    <w:basedOn w:val="Carpredefinitoparagrafo"/>
    <w:link w:val="Inglese"/>
    <w:rsid w:val="001115FB"/>
    <w:rPr>
      <w:rFonts w:ascii="Helvetica" w:hAnsi="Helvetica"/>
      <w:i/>
      <w:sz w:val="20"/>
      <w:lang w:val="it-IT"/>
    </w:rPr>
  </w:style>
  <w:style w:type="paragraph" w:customStyle="1" w:styleId="Indice">
    <w:name w:val="Indice"/>
    <w:basedOn w:val="Sommario1"/>
    <w:link w:val="IndiceCarattere"/>
    <w:qFormat/>
    <w:rsid w:val="003B3B2C"/>
    <w:pPr>
      <w:tabs>
        <w:tab w:val="right" w:leader="dot" w:pos="8497"/>
      </w:tabs>
      <w:spacing w:line="480" w:lineRule="auto"/>
    </w:pPr>
    <w:rPr>
      <w:noProof/>
    </w:rPr>
  </w:style>
  <w:style w:type="paragraph" w:customStyle="1" w:styleId="Paragrafobase">
    <w:name w:val="[Paragrafo base]"/>
    <w:basedOn w:val="Normale"/>
    <w:uiPriority w:val="99"/>
    <w:rsid w:val="003B3B2C"/>
    <w:pPr>
      <w:autoSpaceDE w:val="0"/>
      <w:autoSpaceDN w:val="0"/>
      <w:adjustRightInd w:val="0"/>
      <w:spacing w:after="0" w:line="288" w:lineRule="auto"/>
      <w:contextualSpacing w:val="0"/>
      <w:jc w:val="left"/>
      <w:textAlignment w:val="center"/>
    </w:pPr>
    <w:rPr>
      <w:rFonts w:ascii="Minion Pro" w:hAnsi="Minion Pro" w:cs="Minion Pro"/>
      <w:color w:val="000000"/>
      <w:sz w:val="24"/>
      <w:szCs w:val="24"/>
      <w:lang w:val="en-GB"/>
    </w:rPr>
  </w:style>
  <w:style w:type="character" w:customStyle="1" w:styleId="Sommario1Carattere">
    <w:name w:val="Sommario 1 Carattere"/>
    <w:basedOn w:val="Carpredefinitoparagrafo"/>
    <w:link w:val="Sommario1"/>
    <w:uiPriority w:val="39"/>
    <w:rsid w:val="003B3B2C"/>
    <w:rPr>
      <w:rFonts w:ascii="Helvetica" w:hAnsi="Helvetica"/>
      <w:sz w:val="20"/>
    </w:rPr>
  </w:style>
  <w:style w:type="character" w:customStyle="1" w:styleId="IndiceCarattere">
    <w:name w:val="Indice Carattere"/>
    <w:basedOn w:val="Sommario1Carattere"/>
    <w:link w:val="Indice"/>
    <w:rsid w:val="003B3B2C"/>
    <w:rPr>
      <w:rFonts w:ascii="Helvetica" w:hAnsi="Helvetica"/>
      <w:noProof/>
      <w:sz w:val="20"/>
    </w:rPr>
  </w:style>
  <w:style w:type="paragraph" w:customStyle="1" w:styleId="Titolo2BrochureISFOL">
    <w:name w:val="Titolo 2 Brochure ISFOL"/>
    <w:basedOn w:val="Normale"/>
    <w:next w:val="Normale"/>
    <w:qFormat/>
    <w:rsid w:val="00780F62"/>
    <w:pPr>
      <w:spacing w:after="0"/>
      <w:jc w:val="left"/>
    </w:pPr>
    <w:rPr>
      <w:bCs/>
      <w:caps/>
      <w:color w:val="8D8D8D" w:themeColor="accent1"/>
      <w:sz w:val="22"/>
      <w:szCs w:val="24"/>
      <w:lang w:val="it-IT" w:eastAsia="it-IT"/>
    </w:rPr>
  </w:style>
  <w:style w:type="paragraph" w:customStyle="1" w:styleId="Testopiccolo">
    <w:name w:val="Testo piccolo"/>
    <w:basedOn w:val="Normale"/>
    <w:qFormat/>
    <w:rsid w:val="00780F62"/>
    <w:pPr>
      <w:spacing w:after="0"/>
      <w:contextualSpacing w:val="0"/>
      <w:jc w:val="left"/>
    </w:pPr>
    <w:rPr>
      <w:color w:val="8D8D8D" w:themeColor="accent1"/>
      <w:sz w:val="18"/>
      <w:szCs w:val="18"/>
      <w:lang w:val="it-IT" w:eastAsia="it-IT"/>
    </w:rPr>
  </w:style>
  <w:style w:type="character" w:customStyle="1" w:styleId="lbdttlbdttvallbdttvaltitolo">
    <w:name w:val="lb_dtt lb_dtt_val lb_dtt_val_titolo"/>
    <w:basedOn w:val="Carpredefinitoparagrafo"/>
    <w:rsid w:val="001A1D8E"/>
  </w:style>
  <w:style w:type="character" w:customStyle="1" w:styleId="lbdttlbdttvallbdttvalresto">
    <w:name w:val="lb_dtt lb_dtt_val lb_dtt_val_resto"/>
    <w:basedOn w:val="Carpredefinitoparagrafo"/>
    <w:rsid w:val="001A1D8E"/>
  </w:style>
  <w:style w:type="character" w:customStyle="1" w:styleId="lbdttlbdtthh">
    <w:name w:val="lb_dtt lb_dtt_hh"/>
    <w:basedOn w:val="Carpredefinitoparagrafo"/>
    <w:rsid w:val="001A1D8E"/>
  </w:style>
  <w:style w:type="character" w:customStyle="1" w:styleId="lblbdttlbdtthh">
    <w:name w:val="lb lb_dtt lb_dtt_hh"/>
    <w:basedOn w:val="Carpredefinitoparagrafo"/>
    <w:rsid w:val="001A1D8E"/>
  </w:style>
  <w:style w:type="character" w:customStyle="1" w:styleId="lblbdttlbdtthhspace">
    <w:name w:val="lb lb_dtt lb_dtt_hh_space"/>
    <w:basedOn w:val="Carpredefinitoparagrafo"/>
    <w:rsid w:val="001A1D8E"/>
  </w:style>
  <w:style w:type="character" w:customStyle="1" w:styleId="apple-converted-space">
    <w:name w:val="apple-converted-space"/>
    <w:basedOn w:val="Carpredefinitoparagrafo"/>
    <w:rsid w:val="003C19B6"/>
  </w:style>
  <w:style w:type="paragraph" w:customStyle="1" w:styleId="Default">
    <w:name w:val="Default"/>
    <w:rsid w:val="00301EAC"/>
    <w:pPr>
      <w:autoSpaceDE w:val="0"/>
      <w:autoSpaceDN w:val="0"/>
      <w:adjustRightInd w:val="0"/>
    </w:pPr>
    <w:rPr>
      <w:rFonts w:ascii="Calibri" w:eastAsia="Times New Roman" w:hAnsi="Calibri" w:cs="Calibri"/>
      <w:color w:val="000000"/>
      <w:sz w:val="24"/>
      <w:szCs w:val="24"/>
      <w:lang w:val="it-IT"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D63B0"/>
    <w:pPr>
      <w:spacing w:after="120"/>
      <w:contextualSpacing/>
      <w:jc w:val="both"/>
    </w:pPr>
    <w:rPr>
      <w:rFonts w:ascii="Helvetica" w:hAnsi="Helvetica"/>
      <w:sz w:val="20"/>
    </w:rPr>
  </w:style>
  <w:style w:type="paragraph" w:styleId="Titolo1">
    <w:name w:val="heading 1"/>
    <w:basedOn w:val="Normale"/>
    <w:next w:val="Normale"/>
    <w:link w:val="Titolo1Carattere"/>
    <w:qFormat/>
    <w:rsid w:val="00816F44"/>
    <w:pPr>
      <w:keepNext/>
      <w:keepLines/>
      <w:spacing w:after="240"/>
      <w:outlineLvl w:val="0"/>
    </w:pPr>
    <w:rPr>
      <w:rFonts w:eastAsiaTheme="majorEastAsia" w:cstheme="majorBidi"/>
      <w:b/>
      <w:bCs/>
      <w:caps/>
      <w:sz w:val="24"/>
      <w:szCs w:val="24"/>
    </w:rPr>
  </w:style>
  <w:style w:type="paragraph" w:styleId="Titolo2">
    <w:name w:val="heading 2"/>
    <w:basedOn w:val="Normale"/>
    <w:next w:val="Normale"/>
    <w:link w:val="Titolo2Carattere"/>
    <w:semiHidden/>
    <w:unhideWhenUsed/>
    <w:qFormat/>
    <w:pPr>
      <w:keepNext/>
      <w:keepLines/>
      <w:spacing w:before="200"/>
      <w:outlineLvl w:val="1"/>
    </w:pPr>
    <w:rPr>
      <w:rFonts w:asciiTheme="majorHAnsi" w:eastAsiaTheme="majorEastAsia" w:hAnsiTheme="majorHAnsi" w:cstheme="majorBidi"/>
      <w:b/>
      <w:bCs/>
      <w:color w:val="8D8D8D" w:themeColor="accent1"/>
      <w:sz w:val="26"/>
      <w:szCs w:val="26"/>
    </w:rPr>
  </w:style>
  <w:style w:type="paragraph" w:styleId="Titolo3">
    <w:name w:val="heading 3"/>
    <w:basedOn w:val="Normale"/>
    <w:next w:val="Normale"/>
    <w:link w:val="Titolo3Carattere"/>
    <w:semiHidden/>
    <w:unhideWhenUsed/>
    <w:qFormat/>
    <w:pPr>
      <w:keepNext/>
      <w:keepLines/>
      <w:spacing w:before="200"/>
      <w:outlineLvl w:val="2"/>
    </w:pPr>
    <w:rPr>
      <w:rFonts w:asciiTheme="majorHAnsi" w:eastAsiaTheme="majorEastAsia" w:hAnsiTheme="majorHAnsi" w:cstheme="majorBidi"/>
      <w:b/>
      <w:bCs/>
      <w:color w:val="8D8D8D" w:themeColor="accent1"/>
    </w:rPr>
  </w:style>
  <w:style w:type="paragraph" w:styleId="Titolo4">
    <w:name w:val="heading 4"/>
    <w:basedOn w:val="Normale"/>
    <w:next w:val="Normale"/>
    <w:link w:val="Titolo4Carattere"/>
    <w:semiHidden/>
    <w:unhideWhenUsed/>
    <w:qFormat/>
    <w:pPr>
      <w:keepNext/>
      <w:keepLines/>
      <w:spacing w:before="200"/>
      <w:outlineLvl w:val="3"/>
    </w:pPr>
    <w:rPr>
      <w:rFonts w:asciiTheme="majorHAnsi" w:eastAsiaTheme="majorEastAsia" w:hAnsiTheme="majorHAnsi" w:cstheme="majorBidi"/>
      <w:b/>
      <w:bCs/>
      <w:i/>
      <w:iCs/>
      <w:color w:val="8D8D8D" w:themeColor="accent1"/>
    </w:rPr>
  </w:style>
  <w:style w:type="paragraph" w:styleId="Titolo5">
    <w:name w:val="heading 5"/>
    <w:basedOn w:val="Normale"/>
    <w:next w:val="Normale"/>
    <w:link w:val="Titolo5Carattere"/>
    <w:semiHidden/>
    <w:unhideWhenUsed/>
    <w:qFormat/>
    <w:pPr>
      <w:keepNext/>
      <w:keepLines/>
      <w:spacing w:before="200"/>
      <w:outlineLvl w:val="4"/>
    </w:pPr>
    <w:rPr>
      <w:rFonts w:asciiTheme="majorHAnsi" w:eastAsiaTheme="majorEastAsia" w:hAnsiTheme="majorHAnsi" w:cstheme="majorBidi"/>
      <w:color w:val="464646" w:themeColor="accent1" w:themeShade="7F"/>
    </w:rPr>
  </w:style>
  <w:style w:type="paragraph" w:styleId="Titolo6">
    <w:name w:val="heading 6"/>
    <w:basedOn w:val="Normale"/>
    <w:next w:val="Normale"/>
    <w:link w:val="Titolo6Carattere"/>
    <w:semiHidden/>
    <w:unhideWhenUsed/>
    <w:qFormat/>
    <w:pPr>
      <w:keepNext/>
      <w:keepLines/>
      <w:spacing w:before="200"/>
      <w:outlineLvl w:val="5"/>
    </w:pPr>
    <w:rPr>
      <w:rFonts w:asciiTheme="majorHAnsi" w:eastAsiaTheme="majorEastAsia" w:hAnsiTheme="majorHAnsi" w:cstheme="majorBidi"/>
      <w:i/>
      <w:iCs/>
      <w:color w:val="464646" w:themeColor="accent1" w:themeShade="7F"/>
    </w:rPr>
  </w:style>
  <w:style w:type="paragraph" w:styleId="Titolo7">
    <w:name w:val="heading 7"/>
    <w:basedOn w:val="Normale"/>
    <w:next w:val="Normale"/>
    <w:link w:val="Titolo7Carattere"/>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semiHidden/>
    <w:unhideWhenUsed/>
    <w:qFormat/>
    <w:pPr>
      <w:keepNext/>
      <w:keepLines/>
      <w:spacing w:before="200"/>
      <w:outlineLvl w:val="7"/>
    </w:pPr>
    <w:rPr>
      <w:rFonts w:asciiTheme="majorHAnsi" w:eastAsiaTheme="majorEastAsia" w:hAnsiTheme="majorHAnsi" w:cstheme="majorBidi"/>
      <w:color w:val="404040" w:themeColor="text1" w:themeTint="BF"/>
      <w:szCs w:val="20"/>
    </w:rPr>
  </w:style>
  <w:style w:type="paragraph" w:styleId="Titolo9">
    <w:name w:val="heading 9"/>
    <w:basedOn w:val="Normale"/>
    <w:next w:val="Normale"/>
    <w:link w:val="Titolo9Carattere"/>
    <w:semiHidden/>
    <w:unhideWhenUsed/>
    <w:qFormat/>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816F44"/>
    <w:rPr>
      <w:rFonts w:ascii="Helvetica" w:eastAsiaTheme="majorEastAsia" w:hAnsi="Helvetica" w:cstheme="majorBidi"/>
      <w:b/>
      <w:bCs/>
      <w:caps/>
      <w:sz w:val="24"/>
      <w:szCs w:val="24"/>
    </w:rPr>
  </w:style>
  <w:style w:type="paragraph" w:styleId="Sottotitolo">
    <w:name w:val="Subtitle"/>
    <w:basedOn w:val="Normale"/>
    <w:next w:val="Normale"/>
    <w:link w:val="SottotitoloCarattere"/>
    <w:pPr>
      <w:spacing w:line="1000" w:lineRule="exact"/>
      <w:jc w:val="right"/>
    </w:pPr>
    <w:rPr>
      <w:b/>
      <w:caps/>
      <w:color w:val="B2B2B2" w:themeColor="background2"/>
      <w:sz w:val="70"/>
      <w:szCs w:val="70"/>
    </w:rPr>
  </w:style>
  <w:style w:type="character" w:customStyle="1" w:styleId="SottotitoloCarattere">
    <w:name w:val="Sottotitolo Carattere"/>
    <w:basedOn w:val="Carpredefinitoparagrafo"/>
    <w:link w:val="Sottotitolo"/>
    <w:rPr>
      <w:b/>
      <w:caps/>
      <w:color w:val="B2B2B2" w:themeColor="background2"/>
      <w:sz w:val="70"/>
      <w:szCs w:val="70"/>
    </w:rPr>
  </w:style>
  <w:style w:type="paragraph" w:styleId="Intestazione">
    <w:name w:val="header"/>
    <w:basedOn w:val="Normale"/>
    <w:link w:val="IntestazioneCarattere"/>
    <w:pPr>
      <w:spacing w:after="400"/>
    </w:pPr>
  </w:style>
  <w:style w:type="character" w:customStyle="1" w:styleId="IntestazioneCarattere">
    <w:name w:val="Intestazione Carattere"/>
    <w:basedOn w:val="Carpredefinitoparagrafo"/>
    <w:link w:val="Intestazione"/>
    <w:rPr>
      <w:color w:val="7F7F7F" w:themeColor="text1" w:themeTint="80"/>
      <w:sz w:val="20"/>
    </w:rPr>
  </w:style>
  <w:style w:type="paragraph" w:styleId="Pidipagina">
    <w:name w:val="footer"/>
    <w:basedOn w:val="Normale"/>
    <w:link w:val="PidipaginaCarattere"/>
    <w:pPr>
      <w:tabs>
        <w:tab w:val="center" w:pos="4680"/>
        <w:tab w:val="right" w:pos="9360"/>
      </w:tabs>
      <w:spacing w:before="120"/>
      <w:jc w:val="center"/>
    </w:pPr>
    <w:rPr>
      <w:sz w:val="16"/>
      <w:szCs w:val="16"/>
    </w:rPr>
  </w:style>
  <w:style w:type="character" w:customStyle="1" w:styleId="PidipaginaCarattere">
    <w:name w:val="Piè di pagina Carattere"/>
    <w:basedOn w:val="Carpredefinitoparagrafo"/>
    <w:link w:val="Pidipagina"/>
    <w:rPr>
      <w:color w:val="7F7F7F" w:themeColor="text1" w:themeTint="80"/>
      <w:sz w:val="16"/>
      <w:szCs w:val="16"/>
    </w:rPr>
  </w:style>
  <w:style w:type="paragraph" w:styleId="Corpotesto">
    <w:name w:val="Body Text"/>
    <w:basedOn w:val="Normale"/>
    <w:link w:val="CorpotestoCarattere"/>
    <w:pPr>
      <w:spacing w:after="200"/>
    </w:pPr>
  </w:style>
  <w:style w:type="table" w:customStyle="1" w:styleId="FinancialTable">
    <w:name w:val="Financial Table"/>
    <w:basedOn w:val="Tabellanormale"/>
    <w:tblPr>
      <w:tblStyleRowBandSize w:val="1"/>
    </w:tblPr>
    <w:tblStylePr w:type="firstRow">
      <w:rPr>
        <w:color w:val="FFFFFF" w:themeColor="background1"/>
      </w:rPr>
      <w:tblPr/>
      <w:tcPr>
        <w:shd w:val="clear" w:color="auto" w:fill="7F7F7F" w:themeFill="text1" w:themeFillTint="80"/>
      </w:tcPr>
    </w:tblStylePr>
    <w:tblStylePr w:type="lastRow">
      <w:rPr>
        <w:color w:val="FFFFFF" w:themeColor="background1"/>
      </w:rPr>
      <w:tblPr/>
      <w:tcPr>
        <w:tcBorders>
          <w:top w:val="single" w:sz="18" w:space="0" w:color="7F7F7F" w:themeColor="accent1" w:themeShade="E6"/>
        </w:tcBorders>
      </w:tcPr>
    </w:tblStylePr>
    <w:tblStylePr w:type="band2Horz">
      <w:tblPr/>
      <w:tcPr>
        <w:shd w:val="clear" w:color="auto" w:fill="8D8D8D" w:themeFill="accent1"/>
      </w:tcPr>
    </w:tblStylePr>
  </w:style>
  <w:style w:type="paragraph" w:customStyle="1" w:styleId="TableText-Left">
    <w:name w:val="Table Text - Left"/>
    <w:basedOn w:val="Normale"/>
    <w:pPr>
      <w:spacing w:before="50" w:after="50"/>
    </w:pPr>
    <w:rPr>
      <w:sz w:val="18"/>
      <w:szCs w:val="18"/>
    </w:rPr>
  </w:style>
  <w:style w:type="paragraph" w:customStyle="1" w:styleId="TableText-Decimal">
    <w:name w:val="Table Text - Decimal"/>
    <w:basedOn w:val="Normale"/>
    <w:pPr>
      <w:tabs>
        <w:tab w:val="decimal" w:pos="714"/>
      </w:tabs>
      <w:spacing w:before="50" w:after="50"/>
    </w:pPr>
    <w:rPr>
      <w:sz w:val="18"/>
      <w:szCs w:val="18"/>
    </w:rPr>
  </w:style>
  <w:style w:type="paragraph" w:customStyle="1" w:styleId="TableText-Right">
    <w:name w:val="Table Text - Right"/>
    <w:basedOn w:val="Normale"/>
    <w:pPr>
      <w:spacing w:before="50" w:after="50"/>
      <w:jc w:val="right"/>
    </w:pPr>
    <w:rPr>
      <w:sz w:val="18"/>
      <w:szCs w:val="18"/>
    </w:rPr>
  </w:style>
  <w:style w:type="paragraph" w:customStyle="1" w:styleId="TableHeading-Left">
    <w:name w:val="Table Heading - Left"/>
    <w:basedOn w:val="Normale"/>
    <w:qFormat/>
    <w:rsid w:val="006C7028"/>
    <w:pPr>
      <w:spacing w:before="60" w:after="60"/>
    </w:pPr>
    <w:rPr>
      <w:b/>
      <w:bCs/>
      <w:color w:val="727272" w:themeColor="accent2"/>
      <w:szCs w:val="20"/>
    </w:rPr>
  </w:style>
  <w:style w:type="paragraph" w:customStyle="1" w:styleId="TableHeading-Center">
    <w:name w:val="Table Heading - Center"/>
    <w:basedOn w:val="TableHeading-Left"/>
    <w:qFormat/>
    <w:rsid w:val="006C7028"/>
    <w:pPr>
      <w:jc w:val="left"/>
    </w:pPr>
    <w:rPr>
      <w:b w:val="0"/>
    </w:rPr>
  </w:style>
  <w:style w:type="table" w:customStyle="1" w:styleId="HeaderTable">
    <w:name w:val="Header Table"/>
    <w:basedOn w:val="Tabellanormale"/>
    <w:tblPr>
      <w:tblStyleRowBandSize w:val="1"/>
      <w:jc w:val="center"/>
      <w:tblCellMar>
        <w:left w:w="0" w:type="dxa"/>
        <w:right w:w="0" w:type="dxa"/>
      </w:tblCellMar>
    </w:tblPr>
    <w:trPr>
      <w:jc w:val="center"/>
    </w:trPr>
    <w:tcPr>
      <w:vAlign w:val="bottom"/>
    </w:tcPr>
    <w:tblStylePr w:type="firstRow">
      <w:tblPr/>
      <w:tcPr>
        <w:tcBorders>
          <w:bottom w:val="single" w:sz="24" w:space="0" w:color="FFFFFF" w:themeColor="background1"/>
        </w:tcBorders>
        <w:shd w:val="clear" w:color="auto" w:fill="E3E3E3" w:themeFill="text2"/>
      </w:tcPr>
    </w:tblStylePr>
    <w:tblStylePr w:type="band1Horz">
      <w:tblPr/>
      <w:tcPr>
        <w:shd w:val="clear" w:color="auto" w:fill="B2B2B2" w:themeFill="background2"/>
      </w:tcPr>
    </w:tblStylePr>
    <w:tblStylePr w:type="band2Horz">
      <w:tblPr/>
      <w:tcPr>
        <w:shd w:val="clear" w:color="auto" w:fill="8D8D8D" w:themeFill="accent1"/>
      </w:tcPr>
    </w:tblStylePr>
  </w:style>
  <w:style w:type="paragraph" w:customStyle="1" w:styleId="Header-Details">
    <w:name w:val="Header - Details"/>
    <w:basedOn w:val="Normale"/>
    <w:rPr>
      <w:color w:val="FFFFFF" w:themeColor="background1"/>
      <w:sz w:val="16"/>
      <w:szCs w:val="16"/>
    </w:rPr>
  </w:style>
  <w:style w:type="table" w:customStyle="1" w:styleId="CoverTable">
    <w:name w:val="Cover Table"/>
    <w:basedOn w:val="Tabellanormale"/>
    <w:tblPr>
      <w:tblStyleRowBandSize w:val="1"/>
      <w:jc w:val="center"/>
      <w:tblCellMar>
        <w:left w:w="0" w:type="dxa"/>
        <w:right w:w="0" w:type="dxa"/>
      </w:tblCellMar>
    </w:tblPr>
    <w:trPr>
      <w:jc w:val="center"/>
    </w:trPr>
    <w:tcPr>
      <w:shd w:val="clear" w:color="auto" w:fill="E3E3E3" w:themeFill="text2"/>
    </w:tcPr>
    <w:tblStylePr w:type="firstRow">
      <w:tblPr/>
      <w:tcPr>
        <w:shd w:val="clear" w:color="auto" w:fill="B2B2B2" w:themeFill="background2"/>
      </w:tcPr>
    </w:tblStylePr>
    <w:tblStylePr w:type="lastRow">
      <w:tblPr/>
      <w:tcPr>
        <w:shd w:val="clear" w:color="auto" w:fill="595959" w:themeFill="text1" w:themeFillTint="A6"/>
      </w:tcPr>
    </w:tblStylePr>
    <w:tblStylePr w:type="band1Horz">
      <w:tblPr/>
      <w:tcPr>
        <w:shd w:val="clear" w:color="auto" w:fill="8D8D8D" w:themeFill="accent1"/>
      </w:tcPr>
    </w:tblStylePr>
    <w:tblStylePr w:type="band2Horz">
      <w:tblPr/>
      <w:tcPr>
        <w:shd w:val="clear" w:color="auto" w:fill="595959" w:themeFill="text1" w:themeFillTint="A6"/>
      </w:tcPr>
    </w:tblStylePr>
  </w:style>
  <w:style w:type="paragraph" w:customStyle="1" w:styleId="Spacebetween">
    <w:name w:val="Space between"/>
    <w:basedOn w:val="Normale"/>
    <w:pPr>
      <w:spacing w:line="40" w:lineRule="exact"/>
    </w:pPr>
  </w:style>
  <w:style w:type="paragraph" w:customStyle="1" w:styleId="Header-Left">
    <w:name w:val="Header-Left"/>
    <w:basedOn w:val="Normale"/>
    <w:rPr>
      <w:b/>
      <w:color w:val="B2B2B2" w:themeColor="background2"/>
      <w:sz w:val="32"/>
      <w:szCs w:val="32"/>
    </w:rPr>
  </w:style>
  <w:style w:type="paragraph" w:styleId="Data">
    <w:name w:val="Date"/>
    <w:basedOn w:val="Normale"/>
    <w:next w:val="Normale"/>
    <w:link w:val="DataCarattere"/>
    <w:pPr>
      <w:spacing w:line="1000" w:lineRule="exact"/>
      <w:jc w:val="right"/>
    </w:pPr>
    <w:rPr>
      <w:color w:val="8D8D8D" w:themeColor="accent1"/>
    </w:rPr>
  </w:style>
  <w:style w:type="character" w:customStyle="1" w:styleId="DataCarattere">
    <w:name w:val="Data Carattere"/>
    <w:basedOn w:val="Carpredefinitoparagrafo"/>
    <w:link w:val="Data"/>
    <w:rPr>
      <w:color w:val="8D8D8D" w:themeColor="accent1"/>
      <w:sz w:val="20"/>
    </w:rPr>
  </w:style>
  <w:style w:type="paragraph" w:customStyle="1" w:styleId="Header-Continued">
    <w:name w:val="Header - Continued"/>
    <w:basedOn w:val="Normale"/>
    <w:pPr>
      <w:spacing w:after="60" w:line="400" w:lineRule="exact"/>
      <w:jc w:val="right"/>
    </w:pPr>
    <w:rPr>
      <w:b/>
      <w:caps/>
      <w:color w:val="8D8D8D" w:themeColor="accent1"/>
      <w:sz w:val="40"/>
      <w:szCs w:val="24"/>
    </w:rPr>
  </w:style>
  <w:style w:type="paragraph" w:customStyle="1" w:styleId="Page">
    <w:name w:val="Page"/>
    <w:basedOn w:val="Normale"/>
    <w:pPr>
      <w:spacing w:after="40"/>
      <w:ind w:right="144"/>
      <w:jc w:val="right"/>
    </w:pPr>
    <w:rPr>
      <w:b/>
      <w:color w:val="8D8D8D" w:themeColor="accent1"/>
      <w:sz w:val="18"/>
      <w:szCs w:val="18"/>
    </w:rPr>
  </w:style>
  <w:style w:type="table" w:customStyle="1" w:styleId="CoverCenter">
    <w:name w:val="Cover Center"/>
    <w:basedOn w:val="Tabellanormale"/>
    <w:tblPr>
      <w:jc w:val="center"/>
      <w:tblCellMar>
        <w:top w:w="432" w:type="dxa"/>
        <w:left w:w="432" w:type="dxa"/>
        <w:bottom w:w="432" w:type="dxa"/>
        <w:right w:w="432" w:type="dxa"/>
      </w:tblCellMar>
    </w:tblPr>
    <w:trPr>
      <w:jc w:val="center"/>
    </w:trPr>
  </w:style>
  <w:style w:type="paragraph" w:customStyle="1" w:styleId="Header-Continued2">
    <w:name w:val="Header - Continued2"/>
    <w:basedOn w:val="Header-Continued"/>
    <w:rPr>
      <w:color w:val="B2B2B2" w:themeColor="background2"/>
    </w:rPr>
  </w:style>
  <w:style w:type="paragraph" w:customStyle="1" w:styleId="Date-Continued">
    <w:name w:val="Date - Continued"/>
    <w:basedOn w:val="Data"/>
    <w:pPr>
      <w:spacing w:after="60" w:line="400" w:lineRule="exact"/>
      <w:jc w:val="left"/>
    </w:pPr>
  </w:style>
  <w:style w:type="character" w:customStyle="1" w:styleId="CorpotestoCarattere">
    <w:name w:val="Corpo testo Carattere"/>
    <w:basedOn w:val="Carpredefinitoparagrafo"/>
    <w:link w:val="Corpotesto"/>
    <w:rPr>
      <w:color w:val="7F7F7F" w:themeColor="text1" w:themeTint="80"/>
      <w:sz w:val="20"/>
    </w:rPr>
  </w:style>
  <w:style w:type="paragraph" w:styleId="Testofumetto">
    <w:name w:val="Balloon Text"/>
    <w:basedOn w:val="Normale"/>
    <w:link w:val="TestofumettoCarattere"/>
    <w:semiHidden/>
    <w:unhideWhenUsed/>
    <w:rPr>
      <w:rFonts w:ascii="Tahoma" w:hAnsi="Tahoma" w:cs="Tahoma"/>
      <w:sz w:val="16"/>
      <w:szCs w:val="16"/>
    </w:rPr>
  </w:style>
  <w:style w:type="character" w:customStyle="1" w:styleId="TestofumettoCarattere">
    <w:name w:val="Testo fumetto Carattere"/>
    <w:basedOn w:val="Carpredefinitoparagrafo"/>
    <w:link w:val="Testofumetto"/>
    <w:semiHidden/>
    <w:rPr>
      <w:rFonts w:ascii="Tahoma" w:hAnsi="Tahoma" w:cs="Tahoma"/>
      <w:color w:val="7F7F7F" w:themeColor="text1" w:themeTint="80"/>
      <w:sz w:val="16"/>
      <w:szCs w:val="16"/>
    </w:rPr>
  </w:style>
  <w:style w:type="paragraph" w:styleId="Titolo">
    <w:name w:val="Title"/>
    <w:aliases w:val="Titolo Principale"/>
    <w:basedOn w:val="Normale"/>
    <w:next w:val="Normale"/>
    <w:link w:val="TitoloCarattere"/>
    <w:qFormat/>
    <w:rsid w:val="003E76A6"/>
    <w:pPr>
      <w:jc w:val="left"/>
    </w:pPr>
    <w:rPr>
      <w:b/>
      <w:bCs/>
      <w:color w:val="727272" w:themeColor="accent2"/>
      <w:sz w:val="52"/>
      <w:szCs w:val="28"/>
    </w:rPr>
  </w:style>
  <w:style w:type="character" w:customStyle="1" w:styleId="TitoloCarattere">
    <w:name w:val="Titolo Carattere"/>
    <w:aliases w:val="Titolo Principale Carattere"/>
    <w:basedOn w:val="Carpredefinitoparagrafo"/>
    <w:link w:val="Titolo"/>
    <w:rsid w:val="003E76A6"/>
    <w:rPr>
      <w:rFonts w:ascii="Helvetica" w:hAnsi="Helvetica"/>
      <w:b/>
      <w:bCs/>
      <w:color w:val="727272" w:themeColor="accent2"/>
      <w:sz w:val="52"/>
      <w:szCs w:val="28"/>
    </w:rPr>
  </w:style>
  <w:style w:type="paragraph" w:styleId="Bibliografia">
    <w:name w:val="Bibliography"/>
    <w:basedOn w:val="Normale"/>
    <w:next w:val="Normale"/>
    <w:semiHidden/>
    <w:unhideWhenUsed/>
  </w:style>
  <w:style w:type="paragraph" w:styleId="Testodelblocco">
    <w:name w:val="Block Text"/>
    <w:basedOn w:val="Normale"/>
    <w:semiHidden/>
    <w:unhideWhenUsed/>
    <w:pPr>
      <w:pBdr>
        <w:top w:val="single" w:sz="2" w:space="10" w:color="8D8D8D" w:themeColor="accent1" w:shadow="1"/>
        <w:left w:val="single" w:sz="2" w:space="10" w:color="8D8D8D" w:themeColor="accent1" w:shadow="1"/>
        <w:bottom w:val="single" w:sz="2" w:space="10" w:color="8D8D8D" w:themeColor="accent1" w:shadow="1"/>
        <w:right w:val="single" w:sz="2" w:space="10" w:color="8D8D8D" w:themeColor="accent1" w:shadow="1"/>
      </w:pBdr>
      <w:ind w:left="1152" w:right="1152"/>
    </w:pPr>
    <w:rPr>
      <w:i/>
      <w:iCs/>
      <w:color w:val="8D8D8D" w:themeColor="accent1"/>
    </w:rPr>
  </w:style>
  <w:style w:type="paragraph" w:styleId="Corpodeltesto2">
    <w:name w:val="Body Text 2"/>
    <w:basedOn w:val="Normale"/>
    <w:link w:val="Corpodeltesto2Carattere"/>
    <w:semiHidden/>
    <w:unhideWhenUsed/>
    <w:pPr>
      <w:ind w:left="360"/>
    </w:pPr>
  </w:style>
  <w:style w:type="paragraph" w:styleId="Corpodeltesto3">
    <w:name w:val="Body Text 3"/>
    <w:basedOn w:val="Normale"/>
    <w:link w:val="Corpodeltesto3Carattere"/>
    <w:semiHidden/>
    <w:unhideWhenUsed/>
    <w:rPr>
      <w:sz w:val="16"/>
      <w:szCs w:val="16"/>
    </w:rPr>
  </w:style>
  <w:style w:type="character" w:customStyle="1" w:styleId="Corpodeltesto3Carattere">
    <w:name w:val="Corpo del testo 3 Carattere"/>
    <w:basedOn w:val="Carpredefinitoparagrafo"/>
    <w:link w:val="Corpodeltesto3"/>
    <w:semiHidden/>
    <w:rPr>
      <w:color w:val="7F7F7F" w:themeColor="text1" w:themeTint="80"/>
      <w:sz w:val="16"/>
      <w:szCs w:val="16"/>
    </w:rPr>
  </w:style>
  <w:style w:type="paragraph" w:styleId="Primorientrocorpodeltesto">
    <w:name w:val="Body Text First Indent"/>
    <w:basedOn w:val="Corpotesto"/>
    <w:link w:val="PrimorientrocorpodeltestoCarattere"/>
    <w:semiHidden/>
    <w:unhideWhenUsed/>
    <w:pPr>
      <w:spacing w:after="0"/>
      <w:ind w:firstLine="360"/>
      <w:jc w:val="left"/>
    </w:pPr>
  </w:style>
  <w:style w:type="character" w:customStyle="1" w:styleId="PrimorientrocorpodeltestoCarattere">
    <w:name w:val="Primo rientro corpo del testo Carattere"/>
    <w:basedOn w:val="CorpotestoCarattere"/>
    <w:link w:val="Primorientrocorpodeltesto"/>
    <w:semiHidden/>
    <w:rPr>
      <w:color w:val="7F7F7F" w:themeColor="text1" w:themeTint="80"/>
      <w:sz w:val="20"/>
    </w:rPr>
  </w:style>
  <w:style w:type="character" w:customStyle="1" w:styleId="Corpodeltesto2Carattere">
    <w:name w:val="Corpo del testo 2 Carattere"/>
    <w:basedOn w:val="Carpredefinitoparagrafo"/>
    <w:link w:val="Corpodeltesto2"/>
    <w:semiHidden/>
    <w:rPr>
      <w:color w:val="7F7F7F" w:themeColor="text1" w:themeTint="80"/>
      <w:sz w:val="20"/>
    </w:rPr>
  </w:style>
  <w:style w:type="paragraph" w:styleId="Primorientrocorpodeltesto2">
    <w:name w:val="Body Text First Indent 2"/>
    <w:basedOn w:val="Corpodeltesto2"/>
    <w:link w:val="Primorientrocorpodeltesto2Carattere"/>
    <w:semiHidden/>
    <w:unhideWhenUsed/>
    <w:pPr>
      <w:spacing w:after="0"/>
      <w:ind w:firstLine="360"/>
    </w:pPr>
  </w:style>
  <w:style w:type="character" w:customStyle="1" w:styleId="Primorientrocorpodeltesto2Carattere">
    <w:name w:val="Primo rientro corpo del testo 2 Carattere"/>
    <w:basedOn w:val="Corpodeltesto2Carattere"/>
    <w:link w:val="Primorientrocorpodeltesto2"/>
    <w:semiHidden/>
    <w:rPr>
      <w:color w:val="7F7F7F" w:themeColor="text1" w:themeTint="80"/>
      <w:sz w:val="20"/>
    </w:rPr>
  </w:style>
  <w:style w:type="paragraph" w:styleId="Rientrocorpodeltesto2">
    <w:name w:val="Body Text Indent 2"/>
    <w:basedOn w:val="Normale"/>
    <w:link w:val="Rientrocorpodeltesto2Carattere"/>
    <w:semiHidden/>
    <w:unhideWhenUsed/>
    <w:pPr>
      <w:spacing w:line="480" w:lineRule="auto"/>
      <w:ind w:left="360"/>
    </w:pPr>
  </w:style>
  <w:style w:type="character" w:customStyle="1" w:styleId="Rientrocorpodeltesto2Carattere">
    <w:name w:val="Rientro corpo del testo 2 Carattere"/>
    <w:basedOn w:val="Carpredefinitoparagrafo"/>
    <w:link w:val="Rientrocorpodeltesto2"/>
    <w:semiHidden/>
    <w:rPr>
      <w:color w:val="7F7F7F" w:themeColor="text1" w:themeTint="80"/>
      <w:sz w:val="20"/>
    </w:rPr>
  </w:style>
  <w:style w:type="paragraph" w:styleId="Rientrocorpodeltesto3">
    <w:name w:val="Body Text Indent 3"/>
    <w:basedOn w:val="Normale"/>
    <w:link w:val="Rientrocorpodeltesto3Carattere"/>
    <w:semiHidden/>
    <w:unhideWhenUsed/>
    <w:pPr>
      <w:ind w:left="360"/>
    </w:pPr>
    <w:rPr>
      <w:sz w:val="16"/>
      <w:szCs w:val="16"/>
    </w:rPr>
  </w:style>
  <w:style w:type="character" w:customStyle="1" w:styleId="Rientrocorpodeltesto3Carattere">
    <w:name w:val="Rientro corpo del testo 3 Carattere"/>
    <w:basedOn w:val="Carpredefinitoparagrafo"/>
    <w:link w:val="Rientrocorpodeltesto3"/>
    <w:semiHidden/>
    <w:rPr>
      <w:color w:val="7F7F7F" w:themeColor="text1" w:themeTint="80"/>
      <w:sz w:val="16"/>
      <w:szCs w:val="16"/>
    </w:rPr>
  </w:style>
  <w:style w:type="paragraph" w:styleId="Didascalia">
    <w:name w:val="caption"/>
    <w:basedOn w:val="Normale"/>
    <w:next w:val="Normale"/>
    <w:semiHidden/>
    <w:unhideWhenUsed/>
    <w:qFormat/>
    <w:pPr>
      <w:spacing w:after="200"/>
    </w:pPr>
    <w:rPr>
      <w:b/>
      <w:bCs/>
      <w:color w:val="8D8D8D" w:themeColor="accent1"/>
      <w:sz w:val="18"/>
      <w:szCs w:val="18"/>
    </w:rPr>
  </w:style>
  <w:style w:type="paragraph" w:styleId="Formuladichiusura">
    <w:name w:val="Closing"/>
    <w:basedOn w:val="Normale"/>
    <w:link w:val="FormuladichiusuraCarattere"/>
    <w:semiHidden/>
    <w:unhideWhenUsed/>
    <w:pPr>
      <w:ind w:left="4320"/>
    </w:pPr>
  </w:style>
  <w:style w:type="character" w:customStyle="1" w:styleId="FormuladichiusuraCarattere">
    <w:name w:val="Formula di chiusura Carattere"/>
    <w:basedOn w:val="Carpredefinitoparagrafo"/>
    <w:link w:val="Formuladichiusura"/>
    <w:semiHidden/>
    <w:rPr>
      <w:color w:val="7F7F7F" w:themeColor="text1" w:themeTint="80"/>
      <w:sz w:val="20"/>
    </w:rPr>
  </w:style>
  <w:style w:type="paragraph" w:styleId="Testocommento">
    <w:name w:val="annotation text"/>
    <w:basedOn w:val="Normale"/>
    <w:link w:val="TestocommentoCarattere"/>
    <w:semiHidden/>
    <w:unhideWhenUsed/>
    <w:rPr>
      <w:szCs w:val="20"/>
    </w:rPr>
  </w:style>
  <w:style w:type="character" w:customStyle="1" w:styleId="TestocommentoCarattere">
    <w:name w:val="Testo commento Carattere"/>
    <w:basedOn w:val="Carpredefinitoparagrafo"/>
    <w:link w:val="Testocommento"/>
    <w:semiHidden/>
    <w:rPr>
      <w:color w:val="7F7F7F" w:themeColor="text1" w:themeTint="80"/>
      <w:sz w:val="20"/>
      <w:szCs w:val="20"/>
    </w:rPr>
  </w:style>
  <w:style w:type="paragraph" w:styleId="Soggettocommento">
    <w:name w:val="annotation subject"/>
    <w:basedOn w:val="Testocommento"/>
    <w:next w:val="Testocommento"/>
    <w:link w:val="SoggettocommentoCarattere"/>
    <w:semiHidden/>
    <w:unhideWhenUsed/>
    <w:rPr>
      <w:b/>
      <w:bCs/>
    </w:rPr>
  </w:style>
  <w:style w:type="character" w:customStyle="1" w:styleId="SoggettocommentoCarattere">
    <w:name w:val="Soggetto commento Carattere"/>
    <w:basedOn w:val="TestocommentoCarattere"/>
    <w:link w:val="Soggettocommento"/>
    <w:semiHidden/>
    <w:rPr>
      <w:b/>
      <w:bCs/>
      <w:color w:val="7F7F7F" w:themeColor="text1" w:themeTint="80"/>
      <w:sz w:val="20"/>
      <w:szCs w:val="20"/>
    </w:rPr>
  </w:style>
  <w:style w:type="paragraph" w:styleId="Mappadocumento">
    <w:name w:val="Document Map"/>
    <w:basedOn w:val="Normale"/>
    <w:link w:val="MappadocumentoCarattere"/>
    <w:semiHidden/>
    <w:unhideWhenUsed/>
    <w:rPr>
      <w:rFonts w:ascii="Tahoma" w:hAnsi="Tahoma" w:cs="Tahoma"/>
      <w:sz w:val="16"/>
      <w:szCs w:val="16"/>
    </w:rPr>
  </w:style>
  <w:style w:type="character" w:customStyle="1" w:styleId="MappadocumentoCarattere">
    <w:name w:val="Mappa documento Carattere"/>
    <w:basedOn w:val="Carpredefinitoparagrafo"/>
    <w:link w:val="Mappadocumento"/>
    <w:semiHidden/>
    <w:rPr>
      <w:rFonts w:ascii="Tahoma" w:hAnsi="Tahoma" w:cs="Tahoma"/>
      <w:color w:val="7F7F7F" w:themeColor="text1" w:themeTint="80"/>
      <w:sz w:val="16"/>
      <w:szCs w:val="16"/>
    </w:rPr>
  </w:style>
  <w:style w:type="paragraph" w:styleId="Firmadipostaelettronica">
    <w:name w:val="E-mail Signature"/>
    <w:basedOn w:val="Normale"/>
    <w:link w:val="FirmadipostaelettronicaCarattere"/>
    <w:semiHidden/>
    <w:unhideWhenUsed/>
  </w:style>
  <w:style w:type="character" w:customStyle="1" w:styleId="FirmadipostaelettronicaCarattere">
    <w:name w:val="Firma di posta elettronica Carattere"/>
    <w:basedOn w:val="Carpredefinitoparagrafo"/>
    <w:link w:val="Firmadipostaelettronica"/>
    <w:semiHidden/>
    <w:rPr>
      <w:color w:val="7F7F7F" w:themeColor="text1" w:themeTint="80"/>
      <w:sz w:val="20"/>
    </w:rPr>
  </w:style>
  <w:style w:type="paragraph" w:styleId="Testonotadichiusura">
    <w:name w:val="endnote text"/>
    <w:basedOn w:val="Normale"/>
    <w:link w:val="TestonotadichiusuraCarattere"/>
    <w:semiHidden/>
    <w:unhideWhenUsed/>
    <w:rPr>
      <w:szCs w:val="20"/>
    </w:rPr>
  </w:style>
  <w:style w:type="character" w:customStyle="1" w:styleId="TestonotadichiusuraCarattere">
    <w:name w:val="Testo nota di chiusura Carattere"/>
    <w:basedOn w:val="Carpredefinitoparagrafo"/>
    <w:link w:val="Testonotadichiusura"/>
    <w:semiHidden/>
    <w:rPr>
      <w:color w:val="7F7F7F" w:themeColor="text1" w:themeTint="80"/>
      <w:sz w:val="20"/>
      <w:szCs w:val="20"/>
    </w:rPr>
  </w:style>
  <w:style w:type="paragraph" w:styleId="Indirizzodestinatario">
    <w:name w:val="envelope address"/>
    <w:basedOn w:val="Normale"/>
    <w:semiHidden/>
    <w:unhideWhenUsed/>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Indirizzomittente">
    <w:name w:val="envelope return"/>
    <w:basedOn w:val="Normale"/>
    <w:semiHidden/>
    <w:unhideWhenUsed/>
    <w:rPr>
      <w:rFonts w:asciiTheme="majorHAnsi" w:eastAsiaTheme="majorEastAsia" w:hAnsiTheme="majorHAnsi" w:cstheme="majorBidi"/>
      <w:szCs w:val="20"/>
    </w:rPr>
  </w:style>
  <w:style w:type="paragraph" w:styleId="Testonotaapidipagina">
    <w:name w:val="footnote text"/>
    <w:basedOn w:val="Normale"/>
    <w:link w:val="TestonotaapidipaginaCarattere"/>
    <w:unhideWhenUsed/>
    <w:qFormat/>
    <w:rsid w:val="000321AA"/>
    <w:pPr>
      <w:contextualSpacing w:val="0"/>
    </w:pPr>
    <w:rPr>
      <w:color w:val="595959" w:themeColor="text1" w:themeTint="A6"/>
      <w:sz w:val="18"/>
      <w:szCs w:val="20"/>
    </w:rPr>
  </w:style>
  <w:style w:type="character" w:customStyle="1" w:styleId="TestonotaapidipaginaCarattere">
    <w:name w:val="Testo nota a piè di pagina Carattere"/>
    <w:basedOn w:val="Carpredefinitoparagrafo"/>
    <w:link w:val="Testonotaapidipagina"/>
    <w:rsid w:val="000321AA"/>
    <w:rPr>
      <w:rFonts w:ascii="Helvetica" w:hAnsi="Helvetica"/>
      <w:color w:val="595959" w:themeColor="text1" w:themeTint="A6"/>
      <w:sz w:val="18"/>
      <w:szCs w:val="20"/>
    </w:rPr>
  </w:style>
  <w:style w:type="character" w:customStyle="1" w:styleId="Titolo2Carattere">
    <w:name w:val="Titolo 2 Carattere"/>
    <w:basedOn w:val="Carpredefinitoparagrafo"/>
    <w:link w:val="Titolo2"/>
    <w:semiHidden/>
    <w:rPr>
      <w:rFonts w:asciiTheme="majorHAnsi" w:eastAsiaTheme="majorEastAsia" w:hAnsiTheme="majorHAnsi" w:cstheme="majorBidi"/>
      <w:b/>
      <w:bCs/>
      <w:color w:val="8D8D8D" w:themeColor="accent1"/>
      <w:sz w:val="26"/>
      <w:szCs w:val="26"/>
    </w:rPr>
  </w:style>
  <w:style w:type="character" w:customStyle="1" w:styleId="Titolo3Carattere">
    <w:name w:val="Titolo 3 Carattere"/>
    <w:basedOn w:val="Carpredefinitoparagrafo"/>
    <w:link w:val="Titolo3"/>
    <w:semiHidden/>
    <w:rPr>
      <w:rFonts w:asciiTheme="majorHAnsi" w:eastAsiaTheme="majorEastAsia" w:hAnsiTheme="majorHAnsi" w:cstheme="majorBidi"/>
      <w:b/>
      <w:bCs/>
      <w:color w:val="8D8D8D" w:themeColor="accent1"/>
      <w:sz w:val="20"/>
    </w:rPr>
  </w:style>
  <w:style w:type="character" w:customStyle="1" w:styleId="Titolo4Carattere">
    <w:name w:val="Titolo 4 Carattere"/>
    <w:basedOn w:val="Carpredefinitoparagrafo"/>
    <w:link w:val="Titolo4"/>
    <w:semiHidden/>
    <w:rPr>
      <w:rFonts w:asciiTheme="majorHAnsi" w:eastAsiaTheme="majorEastAsia" w:hAnsiTheme="majorHAnsi" w:cstheme="majorBidi"/>
      <w:b/>
      <w:bCs/>
      <w:i/>
      <w:iCs/>
      <w:color w:val="8D8D8D" w:themeColor="accent1"/>
      <w:sz w:val="20"/>
    </w:rPr>
  </w:style>
  <w:style w:type="character" w:customStyle="1" w:styleId="Titolo5Carattere">
    <w:name w:val="Titolo 5 Carattere"/>
    <w:basedOn w:val="Carpredefinitoparagrafo"/>
    <w:link w:val="Titolo5"/>
    <w:semiHidden/>
    <w:rPr>
      <w:rFonts w:asciiTheme="majorHAnsi" w:eastAsiaTheme="majorEastAsia" w:hAnsiTheme="majorHAnsi" w:cstheme="majorBidi"/>
      <w:color w:val="464646" w:themeColor="accent1" w:themeShade="7F"/>
      <w:sz w:val="20"/>
    </w:rPr>
  </w:style>
  <w:style w:type="character" w:customStyle="1" w:styleId="Titolo6Carattere">
    <w:name w:val="Titolo 6 Carattere"/>
    <w:basedOn w:val="Carpredefinitoparagrafo"/>
    <w:link w:val="Titolo6"/>
    <w:semiHidden/>
    <w:rPr>
      <w:rFonts w:asciiTheme="majorHAnsi" w:eastAsiaTheme="majorEastAsia" w:hAnsiTheme="majorHAnsi" w:cstheme="majorBidi"/>
      <w:i/>
      <w:iCs/>
      <w:color w:val="464646" w:themeColor="accent1" w:themeShade="7F"/>
      <w:sz w:val="20"/>
    </w:rPr>
  </w:style>
  <w:style w:type="character" w:customStyle="1" w:styleId="Titolo7Carattere">
    <w:name w:val="Titolo 7 Carattere"/>
    <w:basedOn w:val="Carpredefinitoparagrafo"/>
    <w:link w:val="Titolo7"/>
    <w:semiHidden/>
    <w:rPr>
      <w:rFonts w:asciiTheme="majorHAnsi" w:eastAsiaTheme="majorEastAsia" w:hAnsiTheme="majorHAnsi" w:cstheme="majorBidi"/>
      <w:i/>
      <w:iCs/>
      <w:color w:val="404040" w:themeColor="text1" w:themeTint="BF"/>
      <w:sz w:val="20"/>
    </w:rPr>
  </w:style>
  <w:style w:type="character" w:customStyle="1" w:styleId="Titolo8Carattere">
    <w:name w:val="Titolo 8 Carattere"/>
    <w:basedOn w:val="Carpredefinitoparagrafo"/>
    <w:link w:val="Titolo8"/>
    <w:semiHidden/>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semiHidden/>
    <w:rPr>
      <w:rFonts w:asciiTheme="majorHAnsi" w:eastAsiaTheme="majorEastAsia" w:hAnsiTheme="majorHAnsi" w:cstheme="majorBidi"/>
      <w:i/>
      <w:iCs/>
      <w:color w:val="404040" w:themeColor="text1" w:themeTint="BF"/>
      <w:sz w:val="20"/>
      <w:szCs w:val="20"/>
    </w:rPr>
  </w:style>
  <w:style w:type="paragraph" w:styleId="IndirizzoHTML">
    <w:name w:val="HTML Address"/>
    <w:basedOn w:val="Normale"/>
    <w:link w:val="IndirizzoHTMLCarattere"/>
    <w:semiHidden/>
    <w:unhideWhenUsed/>
    <w:rPr>
      <w:i/>
      <w:iCs/>
    </w:rPr>
  </w:style>
  <w:style w:type="character" w:customStyle="1" w:styleId="IndirizzoHTMLCarattere">
    <w:name w:val="Indirizzo HTML Carattere"/>
    <w:basedOn w:val="Carpredefinitoparagrafo"/>
    <w:link w:val="IndirizzoHTML"/>
    <w:semiHidden/>
    <w:rPr>
      <w:i/>
      <w:iCs/>
      <w:color w:val="7F7F7F" w:themeColor="text1" w:themeTint="80"/>
      <w:sz w:val="20"/>
    </w:rPr>
  </w:style>
  <w:style w:type="paragraph" w:styleId="PreformattatoHTML">
    <w:name w:val="HTML Preformatted"/>
    <w:basedOn w:val="Normale"/>
    <w:link w:val="PreformattatoHTMLCarattere"/>
    <w:semiHidden/>
    <w:unhideWhenUsed/>
    <w:rPr>
      <w:rFonts w:ascii="Consolas" w:hAnsi="Consolas"/>
      <w:szCs w:val="20"/>
    </w:rPr>
  </w:style>
  <w:style w:type="character" w:customStyle="1" w:styleId="PreformattatoHTMLCarattere">
    <w:name w:val="Preformattato HTML Carattere"/>
    <w:basedOn w:val="Carpredefinitoparagrafo"/>
    <w:link w:val="PreformattatoHTML"/>
    <w:semiHidden/>
    <w:rPr>
      <w:rFonts w:ascii="Consolas" w:hAnsi="Consolas"/>
      <w:color w:val="7F7F7F" w:themeColor="text1" w:themeTint="80"/>
      <w:sz w:val="20"/>
      <w:szCs w:val="20"/>
    </w:rPr>
  </w:style>
  <w:style w:type="paragraph" w:styleId="Indice1">
    <w:name w:val="index 1"/>
    <w:basedOn w:val="Normale"/>
    <w:next w:val="Normale"/>
    <w:autoRedefine/>
    <w:semiHidden/>
    <w:unhideWhenUsed/>
    <w:pPr>
      <w:ind w:left="200" w:hanging="200"/>
    </w:pPr>
  </w:style>
  <w:style w:type="paragraph" w:styleId="Indice2">
    <w:name w:val="index 2"/>
    <w:basedOn w:val="Normale"/>
    <w:next w:val="Normale"/>
    <w:autoRedefine/>
    <w:semiHidden/>
    <w:unhideWhenUsed/>
    <w:pPr>
      <w:ind w:left="400" w:hanging="200"/>
    </w:pPr>
  </w:style>
  <w:style w:type="paragraph" w:styleId="Indice3">
    <w:name w:val="index 3"/>
    <w:basedOn w:val="Normale"/>
    <w:next w:val="Normale"/>
    <w:autoRedefine/>
    <w:semiHidden/>
    <w:unhideWhenUsed/>
    <w:pPr>
      <w:ind w:left="600" w:hanging="200"/>
    </w:pPr>
  </w:style>
  <w:style w:type="paragraph" w:styleId="Indice4">
    <w:name w:val="index 4"/>
    <w:basedOn w:val="Normale"/>
    <w:next w:val="Normale"/>
    <w:autoRedefine/>
    <w:semiHidden/>
    <w:unhideWhenUsed/>
    <w:pPr>
      <w:ind w:left="800" w:hanging="200"/>
    </w:pPr>
  </w:style>
  <w:style w:type="paragraph" w:styleId="Indice5">
    <w:name w:val="index 5"/>
    <w:basedOn w:val="Normale"/>
    <w:next w:val="Normale"/>
    <w:autoRedefine/>
    <w:semiHidden/>
    <w:unhideWhenUsed/>
    <w:pPr>
      <w:ind w:left="1000" w:hanging="200"/>
    </w:pPr>
  </w:style>
  <w:style w:type="paragraph" w:styleId="Indice6">
    <w:name w:val="index 6"/>
    <w:basedOn w:val="Normale"/>
    <w:next w:val="Normale"/>
    <w:autoRedefine/>
    <w:semiHidden/>
    <w:unhideWhenUsed/>
    <w:pPr>
      <w:ind w:left="1200" w:hanging="200"/>
    </w:pPr>
  </w:style>
  <w:style w:type="paragraph" w:styleId="Indice7">
    <w:name w:val="index 7"/>
    <w:basedOn w:val="Normale"/>
    <w:next w:val="Normale"/>
    <w:autoRedefine/>
    <w:semiHidden/>
    <w:unhideWhenUsed/>
    <w:pPr>
      <w:ind w:left="1400" w:hanging="200"/>
    </w:pPr>
  </w:style>
  <w:style w:type="paragraph" w:styleId="Indice8">
    <w:name w:val="index 8"/>
    <w:basedOn w:val="Normale"/>
    <w:next w:val="Normale"/>
    <w:autoRedefine/>
    <w:semiHidden/>
    <w:unhideWhenUsed/>
    <w:pPr>
      <w:ind w:left="1600" w:hanging="200"/>
    </w:pPr>
  </w:style>
  <w:style w:type="paragraph" w:styleId="Indice9">
    <w:name w:val="index 9"/>
    <w:basedOn w:val="Normale"/>
    <w:next w:val="Normale"/>
    <w:autoRedefine/>
    <w:semiHidden/>
    <w:unhideWhenUsed/>
    <w:pPr>
      <w:ind w:left="1800" w:hanging="200"/>
    </w:pPr>
  </w:style>
  <w:style w:type="paragraph" w:styleId="Titoloindice">
    <w:name w:val="index heading"/>
    <w:basedOn w:val="Normale"/>
    <w:next w:val="Indice1"/>
    <w:semiHidden/>
    <w:unhideWhenUsed/>
    <w:rPr>
      <w:rFonts w:asciiTheme="majorHAnsi" w:eastAsiaTheme="majorEastAsia" w:hAnsiTheme="majorHAnsi" w:cstheme="majorBidi"/>
      <w:b/>
      <w:bCs/>
    </w:rPr>
  </w:style>
  <w:style w:type="paragraph" w:styleId="Citazioneintensa">
    <w:name w:val="Intense Quote"/>
    <w:basedOn w:val="Normale"/>
    <w:next w:val="Normale"/>
    <w:link w:val="CitazioneintensaCarattere"/>
    <w:qFormat/>
    <w:pPr>
      <w:pBdr>
        <w:bottom w:val="single" w:sz="4" w:space="4" w:color="8D8D8D" w:themeColor="accent1"/>
      </w:pBdr>
      <w:spacing w:before="200" w:after="280"/>
      <w:ind w:left="936" w:right="936"/>
    </w:pPr>
    <w:rPr>
      <w:b/>
      <w:bCs/>
      <w:i/>
      <w:iCs/>
      <w:color w:val="8D8D8D" w:themeColor="accent1"/>
    </w:rPr>
  </w:style>
  <w:style w:type="character" w:customStyle="1" w:styleId="CitazioneintensaCarattere">
    <w:name w:val="Citazione intensa Carattere"/>
    <w:basedOn w:val="Carpredefinitoparagrafo"/>
    <w:link w:val="Citazioneintensa"/>
    <w:rPr>
      <w:b/>
      <w:bCs/>
      <w:i/>
      <w:iCs/>
      <w:color w:val="8D8D8D" w:themeColor="accent1"/>
      <w:sz w:val="20"/>
    </w:rPr>
  </w:style>
  <w:style w:type="paragraph" w:styleId="Elenco">
    <w:name w:val="List"/>
    <w:basedOn w:val="Normale"/>
    <w:semiHidden/>
    <w:unhideWhenUsed/>
    <w:pPr>
      <w:ind w:left="360" w:hanging="360"/>
    </w:pPr>
  </w:style>
  <w:style w:type="paragraph" w:styleId="Elenco2">
    <w:name w:val="List 2"/>
    <w:basedOn w:val="Normale"/>
    <w:semiHidden/>
    <w:unhideWhenUsed/>
    <w:pPr>
      <w:ind w:left="720" w:hanging="360"/>
    </w:pPr>
  </w:style>
  <w:style w:type="paragraph" w:styleId="Elenco3">
    <w:name w:val="List 3"/>
    <w:basedOn w:val="Normale"/>
    <w:semiHidden/>
    <w:unhideWhenUsed/>
    <w:pPr>
      <w:ind w:left="1080" w:hanging="360"/>
    </w:pPr>
  </w:style>
  <w:style w:type="paragraph" w:styleId="Elenco4">
    <w:name w:val="List 4"/>
    <w:basedOn w:val="Normale"/>
    <w:semiHidden/>
    <w:unhideWhenUsed/>
    <w:pPr>
      <w:ind w:left="1440" w:hanging="360"/>
    </w:pPr>
  </w:style>
  <w:style w:type="paragraph" w:styleId="Elenco5">
    <w:name w:val="List 5"/>
    <w:basedOn w:val="Normale"/>
    <w:semiHidden/>
    <w:unhideWhenUsed/>
    <w:pPr>
      <w:ind w:left="1800" w:hanging="360"/>
    </w:pPr>
  </w:style>
  <w:style w:type="paragraph" w:styleId="Puntoelenco">
    <w:name w:val="List Bullet"/>
    <w:basedOn w:val="Normale"/>
    <w:semiHidden/>
    <w:unhideWhenUsed/>
    <w:pPr>
      <w:numPr>
        <w:numId w:val="1"/>
      </w:numPr>
    </w:pPr>
  </w:style>
  <w:style w:type="paragraph" w:styleId="Puntoelenco2">
    <w:name w:val="List Bullet 2"/>
    <w:basedOn w:val="Normale"/>
    <w:semiHidden/>
    <w:unhideWhenUsed/>
    <w:pPr>
      <w:numPr>
        <w:numId w:val="2"/>
      </w:numPr>
    </w:pPr>
  </w:style>
  <w:style w:type="paragraph" w:styleId="Puntoelenco3">
    <w:name w:val="List Bullet 3"/>
    <w:basedOn w:val="Normale"/>
    <w:semiHidden/>
    <w:unhideWhenUsed/>
    <w:pPr>
      <w:numPr>
        <w:numId w:val="3"/>
      </w:numPr>
    </w:pPr>
  </w:style>
  <w:style w:type="paragraph" w:styleId="Puntoelenco4">
    <w:name w:val="List Bullet 4"/>
    <w:basedOn w:val="Normale"/>
    <w:semiHidden/>
    <w:unhideWhenUsed/>
    <w:pPr>
      <w:numPr>
        <w:numId w:val="4"/>
      </w:numPr>
    </w:pPr>
  </w:style>
  <w:style w:type="paragraph" w:styleId="Puntoelenco5">
    <w:name w:val="List Bullet 5"/>
    <w:basedOn w:val="Normale"/>
    <w:semiHidden/>
    <w:unhideWhenUsed/>
    <w:pPr>
      <w:numPr>
        <w:numId w:val="5"/>
      </w:numPr>
    </w:pPr>
  </w:style>
  <w:style w:type="paragraph" w:styleId="Elencocontinua">
    <w:name w:val="List Continue"/>
    <w:basedOn w:val="Normale"/>
    <w:semiHidden/>
    <w:unhideWhenUsed/>
    <w:pPr>
      <w:ind w:left="360"/>
    </w:pPr>
  </w:style>
  <w:style w:type="paragraph" w:styleId="Elencocontinua2">
    <w:name w:val="List Continue 2"/>
    <w:basedOn w:val="Normale"/>
    <w:semiHidden/>
    <w:unhideWhenUsed/>
    <w:pPr>
      <w:ind w:left="720"/>
    </w:pPr>
  </w:style>
  <w:style w:type="paragraph" w:styleId="Elencocontinua3">
    <w:name w:val="List Continue 3"/>
    <w:basedOn w:val="Normale"/>
    <w:semiHidden/>
    <w:unhideWhenUsed/>
    <w:pPr>
      <w:ind w:left="1080"/>
    </w:pPr>
  </w:style>
  <w:style w:type="paragraph" w:styleId="Elencocontinua4">
    <w:name w:val="List Continue 4"/>
    <w:basedOn w:val="Normale"/>
    <w:semiHidden/>
    <w:unhideWhenUsed/>
    <w:pPr>
      <w:ind w:left="1440"/>
    </w:pPr>
  </w:style>
  <w:style w:type="paragraph" w:styleId="Elencocontinua5">
    <w:name w:val="List Continue 5"/>
    <w:basedOn w:val="Normale"/>
    <w:semiHidden/>
    <w:unhideWhenUsed/>
    <w:pPr>
      <w:ind w:left="1800"/>
    </w:pPr>
  </w:style>
  <w:style w:type="paragraph" w:styleId="Numeroelenco">
    <w:name w:val="List Number"/>
    <w:basedOn w:val="Normale"/>
    <w:semiHidden/>
    <w:unhideWhenUsed/>
    <w:pPr>
      <w:numPr>
        <w:numId w:val="6"/>
      </w:numPr>
    </w:pPr>
  </w:style>
  <w:style w:type="paragraph" w:styleId="Numeroelenco2">
    <w:name w:val="List Number 2"/>
    <w:basedOn w:val="Normale"/>
    <w:semiHidden/>
    <w:unhideWhenUsed/>
    <w:pPr>
      <w:numPr>
        <w:numId w:val="7"/>
      </w:numPr>
    </w:pPr>
  </w:style>
  <w:style w:type="paragraph" w:styleId="Numeroelenco3">
    <w:name w:val="List Number 3"/>
    <w:basedOn w:val="Normale"/>
    <w:semiHidden/>
    <w:unhideWhenUsed/>
    <w:pPr>
      <w:numPr>
        <w:numId w:val="8"/>
      </w:numPr>
    </w:pPr>
  </w:style>
  <w:style w:type="paragraph" w:styleId="Numeroelenco4">
    <w:name w:val="List Number 4"/>
    <w:basedOn w:val="Normale"/>
    <w:semiHidden/>
    <w:unhideWhenUsed/>
    <w:pPr>
      <w:numPr>
        <w:numId w:val="9"/>
      </w:numPr>
    </w:pPr>
  </w:style>
  <w:style w:type="paragraph" w:styleId="Numeroelenco5">
    <w:name w:val="List Number 5"/>
    <w:basedOn w:val="Normale"/>
    <w:semiHidden/>
    <w:unhideWhenUsed/>
    <w:pPr>
      <w:numPr>
        <w:numId w:val="10"/>
      </w:numPr>
    </w:pPr>
  </w:style>
  <w:style w:type="paragraph" w:styleId="Paragrafoelenco">
    <w:name w:val="List Paragraph"/>
    <w:basedOn w:val="Normale"/>
    <w:qFormat/>
    <w:pPr>
      <w:ind w:left="720"/>
    </w:pPr>
  </w:style>
  <w:style w:type="paragraph" w:styleId="Testomacro">
    <w:name w:val="macro"/>
    <w:link w:val="TestomacroCarattere"/>
    <w:semiHidden/>
    <w:unhideWhenUse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nsolas" w:hAnsi="Consolas"/>
      <w:color w:val="7F7F7F" w:themeColor="text1" w:themeTint="80"/>
      <w:sz w:val="20"/>
      <w:szCs w:val="20"/>
    </w:rPr>
  </w:style>
  <w:style w:type="character" w:customStyle="1" w:styleId="TestomacroCarattere">
    <w:name w:val="Testo macro Carattere"/>
    <w:basedOn w:val="Carpredefinitoparagrafo"/>
    <w:link w:val="Testomacro"/>
    <w:semiHidden/>
    <w:rPr>
      <w:rFonts w:ascii="Consolas" w:hAnsi="Consolas"/>
      <w:color w:val="7F7F7F" w:themeColor="text1" w:themeTint="80"/>
      <w:sz w:val="20"/>
      <w:szCs w:val="20"/>
    </w:rPr>
  </w:style>
  <w:style w:type="paragraph" w:styleId="Intestazionemessaggio">
    <w:name w:val="Message Header"/>
    <w:basedOn w:val="Normale"/>
    <w:link w:val="IntestazionemessaggioCarattere"/>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IntestazionemessaggioCarattere">
    <w:name w:val="Intestazione messaggio Carattere"/>
    <w:basedOn w:val="Carpredefinitoparagrafo"/>
    <w:link w:val="Intestazionemessaggio"/>
    <w:semiHidden/>
    <w:rPr>
      <w:rFonts w:asciiTheme="majorHAnsi" w:eastAsiaTheme="majorEastAsia" w:hAnsiTheme="majorHAnsi" w:cstheme="majorBidi"/>
      <w:color w:val="7F7F7F" w:themeColor="text1" w:themeTint="80"/>
      <w:sz w:val="24"/>
      <w:szCs w:val="24"/>
      <w:shd w:val="pct20" w:color="auto" w:fill="auto"/>
    </w:rPr>
  </w:style>
  <w:style w:type="paragraph" w:styleId="Nessunaspaziatura">
    <w:name w:val="No Spacing"/>
    <w:qFormat/>
    <w:rPr>
      <w:color w:val="7F7F7F" w:themeColor="text1" w:themeTint="80"/>
      <w:sz w:val="20"/>
    </w:rPr>
  </w:style>
  <w:style w:type="paragraph" w:styleId="NormaleWeb">
    <w:name w:val="Normal (Web)"/>
    <w:basedOn w:val="Normale"/>
    <w:semiHidden/>
    <w:unhideWhenUsed/>
    <w:rPr>
      <w:rFonts w:ascii="Times New Roman" w:hAnsi="Times New Roman" w:cs="Times New Roman"/>
      <w:szCs w:val="24"/>
    </w:rPr>
  </w:style>
  <w:style w:type="paragraph" w:styleId="Rientronormale">
    <w:name w:val="Normal Indent"/>
    <w:basedOn w:val="Normale"/>
    <w:semiHidden/>
    <w:unhideWhenUsed/>
    <w:pPr>
      <w:ind w:left="720"/>
    </w:pPr>
  </w:style>
  <w:style w:type="paragraph" w:styleId="Intestazionenota">
    <w:name w:val="Note Heading"/>
    <w:basedOn w:val="Normale"/>
    <w:next w:val="Normale"/>
    <w:link w:val="IntestazionenotaCarattere"/>
    <w:semiHidden/>
    <w:unhideWhenUsed/>
  </w:style>
  <w:style w:type="character" w:customStyle="1" w:styleId="IntestazionenotaCarattere">
    <w:name w:val="Intestazione nota Carattere"/>
    <w:basedOn w:val="Carpredefinitoparagrafo"/>
    <w:link w:val="Intestazionenota"/>
    <w:semiHidden/>
    <w:rPr>
      <w:color w:val="7F7F7F" w:themeColor="text1" w:themeTint="80"/>
      <w:sz w:val="20"/>
    </w:rPr>
  </w:style>
  <w:style w:type="paragraph" w:styleId="Testonormale">
    <w:name w:val="Plain Text"/>
    <w:basedOn w:val="Normale"/>
    <w:link w:val="TestonormaleCarattere"/>
    <w:semiHidden/>
    <w:unhideWhenUsed/>
    <w:rPr>
      <w:rFonts w:ascii="Consolas" w:hAnsi="Consolas"/>
      <w:sz w:val="21"/>
      <w:szCs w:val="21"/>
    </w:rPr>
  </w:style>
  <w:style w:type="character" w:customStyle="1" w:styleId="TestonormaleCarattere">
    <w:name w:val="Testo normale Carattere"/>
    <w:basedOn w:val="Carpredefinitoparagrafo"/>
    <w:link w:val="Testonormale"/>
    <w:semiHidden/>
    <w:rPr>
      <w:rFonts w:ascii="Consolas" w:hAnsi="Consolas"/>
      <w:color w:val="7F7F7F" w:themeColor="text1" w:themeTint="80"/>
      <w:sz w:val="21"/>
      <w:szCs w:val="21"/>
    </w:rPr>
  </w:style>
  <w:style w:type="paragraph" w:styleId="Citazione">
    <w:name w:val="Quote"/>
    <w:basedOn w:val="Normale"/>
    <w:next w:val="Normale"/>
    <w:link w:val="CitazioneCarattere"/>
    <w:qFormat/>
    <w:rPr>
      <w:i/>
      <w:iCs/>
      <w:color w:val="000000" w:themeColor="text1"/>
    </w:rPr>
  </w:style>
  <w:style w:type="character" w:customStyle="1" w:styleId="CitazioneCarattere">
    <w:name w:val="Citazione Carattere"/>
    <w:basedOn w:val="Carpredefinitoparagrafo"/>
    <w:link w:val="Citazione"/>
    <w:rPr>
      <w:i/>
      <w:iCs/>
      <w:color w:val="000000" w:themeColor="text1"/>
      <w:sz w:val="20"/>
    </w:rPr>
  </w:style>
  <w:style w:type="paragraph" w:styleId="Formuladiapertura">
    <w:name w:val="Salutation"/>
    <w:basedOn w:val="Normale"/>
    <w:next w:val="Normale"/>
    <w:link w:val="FormuladiaperturaCarattere"/>
    <w:semiHidden/>
    <w:unhideWhenUsed/>
  </w:style>
  <w:style w:type="character" w:customStyle="1" w:styleId="FormuladiaperturaCarattere">
    <w:name w:val="Formula di apertura Carattere"/>
    <w:basedOn w:val="Carpredefinitoparagrafo"/>
    <w:link w:val="Formuladiapertura"/>
    <w:semiHidden/>
    <w:rPr>
      <w:color w:val="7F7F7F" w:themeColor="text1" w:themeTint="80"/>
      <w:sz w:val="20"/>
    </w:rPr>
  </w:style>
  <w:style w:type="paragraph" w:styleId="Firma">
    <w:name w:val="Signature"/>
    <w:basedOn w:val="Normale"/>
    <w:link w:val="FirmaCarattere"/>
    <w:semiHidden/>
    <w:unhideWhenUsed/>
    <w:pPr>
      <w:ind w:left="4320"/>
    </w:pPr>
  </w:style>
  <w:style w:type="character" w:customStyle="1" w:styleId="FirmaCarattere">
    <w:name w:val="Firma Carattere"/>
    <w:basedOn w:val="Carpredefinitoparagrafo"/>
    <w:link w:val="Firma"/>
    <w:semiHidden/>
    <w:rPr>
      <w:color w:val="7F7F7F" w:themeColor="text1" w:themeTint="80"/>
      <w:sz w:val="20"/>
    </w:rPr>
  </w:style>
  <w:style w:type="paragraph" w:styleId="Indicefonti">
    <w:name w:val="table of authorities"/>
    <w:basedOn w:val="Normale"/>
    <w:next w:val="Normale"/>
    <w:semiHidden/>
    <w:unhideWhenUsed/>
    <w:pPr>
      <w:ind w:left="200" w:hanging="200"/>
    </w:pPr>
  </w:style>
  <w:style w:type="paragraph" w:styleId="Indicedellefigure">
    <w:name w:val="table of figures"/>
    <w:basedOn w:val="Normale"/>
    <w:next w:val="Normale"/>
    <w:semiHidden/>
    <w:unhideWhenUsed/>
  </w:style>
  <w:style w:type="paragraph" w:styleId="Titoloindicefonti">
    <w:name w:val="toa heading"/>
    <w:basedOn w:val="Normale"/>
    <w:next w:val="Normale"/>
    <w:semiHidden/>
    <w:unhideWhenUsed/>
    <w:pPr>
      <w:spacing w:before="120"/>
    </w:pPr>
    <w:rPr>
      <w:rFonts w:asciiTheme="majorHAnsi" w:eastAsiaTheme="majorEastAsia" w:hAnsiTheme="majorHAnsi" w:cstheme="majorBidi"/>
      <w:b/>
      <w:bCs/>
      <w:szCs w:val="24"/>
    </w:rPr>
  </w:style>
  <w:style w:type="paragraph" w:styleId="Sommario1">
    <w:name w:val="toc 1"/>
    <w:basedOn w:val="Normale"/>
    <w:next w:val="Normale"/>
    <w:link w:val="Sommario1Carattere"/>
    <w:autoRedefine/>
    <w:uiPriority w:val="39"/>
    <w:unhideWhenUsed/>
    <w:pPr>
      <w:spacing w:after="100"/>
    </w:pPr>
  </w:style>
  <w:style w:type="paragraph" w:styleId="Sommario2">
    <w:name w:val="toc 2"/>
    <w:basedOn w:val="Normale"/>
    <w:next w:val="Normale"/>
    <w:autoRedefine/>
    <w:semiHidden/>
    <w:unhideWhenUsed/>
    <w:pPr>
      <w:spacing w:after="100"/>
      <w:ind w:left="200"/>
    </w:pPr>
  </w:style>
  <w:style w:type="paragraph" w:styleId="Sommario3">
    <w:name w:val="toc 3"/>
    <w:basedOn w:val="Normale"/>
    <w:next w:val="Normale"/>
    <w:autoRedefine/>
    <w:semiHidden/>
    <w:unhideWhenUsed/>
    <w:pPr>
      <w:spacing w:after="100"/>
      <w:ind w:left="400"/>
    </w:pPr>
  </w:style>
  <w:style w:type="paragraph" w:styleId="Sommario4">
    <w:name w:val="toc 4"/>
    <w:basedOn w:val="Normale"/>
    <w:next w:val="Normale"/>
    <w:autoRedefine/>
    <w:semiHidden/>
    <w:unhideWhenUsed/>
    <w:pPr>
      <w:spacing w:after="100"/>
      <w:ind w:left="600"/>
    </w:pPr>
  </w:style>
  <w:style w:type="paragraph" w:styleId="Sommario5">
    <w:name w:val="toc 5"/>
    <w:basedOn w:val="Normale"/>
    <w:next w:val="Normale"/>
    <w:autoRedefine/>
    <w:semiHidden/>
    <w:unhideWhenUsed/>
    <w:pPr>
      <w:spacing w:after="100"/>
      <w:ind w:left="800"/>
    </w:pPr>
  </w:style>
  <w:style w:type="paragraph" w:styleId="Sommario6">
    <w:name w:val="toc 6"/>
    <w:basedOn w:val="Normale"/>
    <w:next w:val="Normale"/>
    <w:autoRedefine/>
    <w:semiHidden/>
    <w:unhideWhenUsed/>
    <w:pPr>
      <w:spacing w:after="100"/>
      <w:ind w:left="1000"/>
    </w:pPr>
  </w:style>
  <w:style w:type="paragraph" w:styleId="Sommario7">
    <w:name w:val="toc 7"/>
    <w:basedOn w:val="Normale"/>
    <w:next w:val="Normale"/>
    <w:autoRedefine/>
    <w:semiHidden/>
    <w:unhideWhenUsed/>
    <w:pPr>
      <w:spacing w:after="100"/>
      <w:ind w:left="1200"/>
    </w:pPr>
  </w:style>
  <w:style w:type="paragraph" w:styleId="Sommario8">
    <w:name w:val="toc 8"/>
    <w:basedOn w:val="Normale"/>
    <w:next w:val="Normale"/>
    <w:autoRedefine/>
    <w:semiHidden/>
    <w:unhideWhenUsed/>
    <w:pPr>
      <w:spacing w:after="100"/>
      <w:ind w:left="1400"/>
    </w:pPr>
  </w:style>
  <w:style w:type="paragraph" w:styleId="Sommario9">
    <w:name w:val="toc 9"/>
    <w:basedOn w:val="Normale"/>
    <w:next w:val="Normale"/>
    <w:autoRedefine/>
    <w:semiHidden/>
    <w:unhideWhenUsed/>
    <w:pPr>
      <w:spacing w:after="100"/>
      <w:ind w:left="1600"/>
    </w:pPr>
  </w:style>
  <w:style w:type="paragraph" w:styleId="Titolosommario">
    <w:name w:val="TOC Heading"/>
    <w:basedOn w:val="Titolo1"/>
    <w:next w:val="Normale"/>
    <w:uiPriority w:val="39"/>
    <w:unhideWhenUsed/>
    <w:qFormat/>
    <w:pPr>
      <w:spacing w:before="480" w:after="0" w:line="288" w:lineRule="auto"/>
      <w:outlineLvl w:val="9"/>
    </w:pPr>
    <w:rPr>
      <w:b w:val="0"/>
      <w:color w:val="696969" w:themeColor="accent1" w:themeShade="BF"/>
      <w:sz w:val="28"/>
      <w:szCs w:val="28"/>
    </w:rPr>
  </w:style>
  <w:style w:type="paragraph" w:customStyle="1" w:styleId="Picture">
    <w:name w:val="Picture"/>
    <w:basedOn w:val="Normale"/>
    <w:pPr>
      <w:ind w:left="-58" w:right="-58"/>
    </w:pPr>
    <w:rPr>
      <w:noProof/>
      <w:color w:val="FFFFFF" w:themeColor="background1"/>
    </w:rPr>
  </w:style>
  <w:style w:type="character" w:customStyle="1" w:styleId="TitleChar">
    <w:name w:val="Title Char"/>
    <w:basedOn w:val="Carpredefinitoparagrafo"/>
    <w:rsid w:val="00D66C38"/>
    <w:rPr>
      <w:rFonts w:eastAsiaTheme="minorHAnsi"/>
      <w:b/>
      <w:caps/>
      <w:color w:val="8D8D8D" w:themeColor="accent1"/>
      <w:sz w:val="100"/>
      <w:szCs w:val="100"/>
    </w:rPr>
  </w:style>
  <w:style w:type="character" w:styleId="Numeropagina">
    <w:name w:val="page number"/>
    <w:basedOn w:val="Carpredefinitoparagrafo"/>
    <w:uiPriority w:val="99"/>
    <w:unhideWhenUsed/>
    <w:rsid w:val="004B6913"/>
    <w:rPr>
      <w:rFonts w:ascii="Helvetica" w:hAnsi="Helvetica"/>
      <w:caps w:val="0"/>
      <w:smallCaps w:val="0"/>
      <w:strike w:val="0"/>
      <w:dstrike w:val="0"/>
      <w:vanish w:val="0"/>
      <w:color w:val="828381"/>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Rimandonotaapidipagina">
    <w:name w:val="footnote reference"/>
    <w:basedOn w:val="Carpredefinitoparagrafo"/>
    <w:unhideWhenUsed/>
    <w:rsid w:val="00536912"/>
    <w:rPr>
      <w:vertAlign w:val="superscript"/>
    </w:rPr>
  </w:style>
  <w:style w:type="paragraph" w:customStyle="1" w:styleId="SottoTitoloPrincipale">
    <w:name w:val="Sotto Titolo Principale"/>
    <w:basedOn w:val="Normale"/>
    <w:qFormat/>
    <w:rsid w:val="00ED63B0"/>
    <w:pPr>
      <w:spacing w:after="200"/>
      <w:jc w:val="left"/>
    </w:pPr>
    <w:rPr>
      <w:rFonts w:eastAsia="Times New Roman" w:cs="Times New Roman"/>
      <w:color w:val="727272" w:themeColor="accent2"/>
      <w:sz w:val="28"/>
      <w:szCs w:val="28"/>
    </w:rPr>
  </w:style>
  <w:style w:type="paragraph" w:customStyle="1" w:styleId="Sottosottotitoloprincipale">
    <w:name w:val="Sotto sotto titolo principale"/>
    <w:basedOn w:val="Titolo"/>
    <w:link w:val="SottosottotitoloprincipaleCarattere"/>
    <w:qFormat/>
    <w:rsid w:val="004E717C"/>
    <w:rPr>
      <w:b w:val="0"/>
    </w:rPr>
  </w:style>
  <w:style w:type="character" w:customStyle="1" w:styleId="SottosottotitoloprincipaleCarattere">
    <w:name w:val="Sotto sotto titolo principale Carattere"/>
    <w:basedOn w:val="TitoloCarattere"/>
    <w:link w:val="Sottosottotitoloprincipale"/>
    <w:rsid w:val="004E717C"/>
    <w:rPr>
      <w:rFonts w:ascii="Helvetica" w:hAnsi="Helvetica"/>
      <w:b w:val="0"/>
      <w:bCs/>
      <w:color w:val="828381"/>
      <w:sz w:val="28"/>
      <w:szCs w:val="28"/>
    </w:rPr>
  </w:style>
  <w:style w:type="table" w:styleId="Grigliatabella">
    <w:name w:val="Table Grid"/>
    <w:basedOn w:val="Tabellanormale"/>
    <w:uiPriority w:val="59"/>
    <w:rsid w:val="00617D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IsfolBase">
    <w:name w:val="Tabella Isfol Base"/>
    <w:basedOn w:val="FinancialTable"/>
    <w:uiPriority w:val="99"/>
    <w:rsid w:val="00DF46D3"/>
    <w:rPr>
      <w:rFonts w:ascii="Helvetica" w:hAnsi="Helvetica"/>
      <w:sz w:val="16"/>
      <w:szCs w:val="16"/>
    </w:rPr>
    <w:tblPr>
      <w:tblBorders>
        <w:top w:val="single" w:sz="4" w:space="0" w:color="auto"/>
        <w:bottom w:val="single" w:sz="4" w:space="0" w:color="auto"/>
        <w:insideH w:val="single" w:sz="4" w:space="0" w:color="auto"/>
      </w:tblBorders>
      <w:tblCellMar>
        <w:top w:w="57" w:type="dxa"/>
        <w:bottom w:w="57" w:type="dxa"/>
      </w:tblCellMar>
    </w:tblPr>
    <w:tcPr>
      <w:shd w:val="clear" w:color="auto" w:fill="auto"/>
      <w:tcMar>
        <w:top w:w="57" w:type="dxa"/>
        <w:bottom w:w="57" w:type="dxa"/>
      </w:tcMar>
      <w:vAlign w:val="center"/>
    </w:tcPr>
    <w:tblStylePr w:type="firstRow">
      <w:pPr>
        <w:wordWrap/>
        <w:spacing w:beforeLines="30" w:before="30" w:beforeAutospacing="0" w:afterLines="30" w:after="30" w:afterAutospacing="0"/>
      </w:pPr>
      <w:rPr>
        <w:rFonts w:ascii="Helvetica" w:hAnsi="Helvetica"/>
        <w:b/>
        <w:bCs/>
        <w:i w:val="0"/>
        <w:iCs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tblPr/>
      <w:tcPr>
        <w:tcBorders>
          <w:top w:val="single" w:sz="4" w:space="0" w:color="auto"/>
          <w:left w:val="nil"/>
          <w:bottom w:val="single" w:sz="4" w:space="0" w:color="auto"/>
          <w:right w:val="nil"/>
        </w:tcBorders>
        <w:shd w:val="clear" w:color="auto" w:fill="auto"/>
      </w:tcPr>
    </w:tblStylePr>
    <w:tblStylePr w:type="lastRow">
      <w:rPr>
        <w:rFonts w:ascii="Helvetica" w:hAnsi="Helvetica"/>
        <w:color w:val="auto"/>
      </w:rPr>
      <w:tblPr/>
      <w:tcPr>
        <w:tcBorders>
          <w:top w:val="nil"/>
          <w:left w:val="nil"/>
          <w:bottom w:val="nil"/>
          <w:right w:val="nil"/>
        </w:tcBorders>
        <w:shd w:val="clear" w:color="auto" w:fill="auto"/>
      </w:tcPr>
    </w:tblStylePr>
    <w:tblStylePr w:type="band1Horz">
      <w:tblPr/>
      <w:tcPr>
        <w:shd w:val="clear" w:color="auto" w:fill="FFFFFF" w:themeFill="background1"/>
      </w:tcPr>
    </w:tblStylePr>
    <w:tblStylePr w:type="band2Horz">
      <w:tblPr/>
      <w:tcPr>
        <w:shd w:val="clear" w:color="auto" w:fill="FFFFFF" w:themeFill="background1"/>
      </w:tcPr>
    </w:tblStylePr>
    <w:tblStylePr w:type="nwCell">
      <w:pPr>
        <w:wordWrap/>
        <w:spacing w:beforeLines="0" w:before="100" w:beforeAutospacing="0" w:line="240" w:lineRule="auto"/>
      </w:pPr>
    </w:tblStylePr>
  </w:style>
  <w:style w:type="paragraph" w:styleId="Revisione">
    <w:name w:val="Revision"/>
    <w:hidden/>
    <w:uiPriority w:val="99"/>
    <w:semiHidden/>
    <w:rsid w:val="0036213B"/>
    <w:rPr>
      <w:rFonts w:ascii="Helvetica" w:hAnsi="Helvetica"/>
      <w:sz w:val="20"/>
    </w:rPr>
  </w:style>
  <w:style w:type="paragraph" w:customStyle="1" w:styleId="Fontetabella">
    <w:name w:val="Fonte tabella"/>
    <w:basedOn w:val="Normale"/>
    <w:next w:val="Normale"/>
    <w:link w:val="FontetabellaCarattere"/>
    <w:qFormat/>
    <w:rsid w:val="00670886"/>
    <w:pPr>
      <w:spacing w:before="120"/>
    </w:pPr>
    <w:rPr>
      <w:sz w:val="16"/>
    </w:rPr>
  </w:style>
  <w:style w:type="character" w:customStyle="1" w:styleId="FontetabellaCarattere">
    <w:name w:val="Fonte tabella Carattere"/>
    <w:basedOn w:val="Carpredefinitoparagrafo"/>
    <w:link w:val="Fontetabella"/>
    <w:rsid w:val="00670886"/>
    <w:rPr>
      <w:rFonts w:ascii="Helvetica" w:hAnsi="Helvetica"/>
      <w:sz w:val="16"/>
    </w:rPr>
  </w:style>
  <w:style w:type="paragraph" w:customStyle="1" w:styleId="TitoloTabella">
    <w:name w:val="Titolo Tabella"/>
    <w:basedOn w:val="Normale"/>
    <w:qFormat/>
    <w:rsid w:val="0026490A"/>
    <w:rPr>
      <w:b/>
      <w:color w:val="000000" w:themeColor="text1"/>
    </w:rPr>
  </w:style>
  <w:style w:type="paragraph" w:customStyle="1" w:styleId="TitoloFrontespizio">
    <w:name w:val="Titolo Frontespizio"/>
    <w:basedOn w:val="Titolo"/>
    <w:next w:val="Normale"/>
    <w:link w:val="TitoloFrontespizioCarattere"/>
    <w:rsid w:val="00DF46D3"/>
    <w:rPr>
      <w:caps/>
      <w:color w:val="1E2B86" w:themeColor="accent5"/>
      <w:sz w:val="48"/>
      <w:szCs w:val="48"/>
    </w:rPr>
  </w:style>
  <w:style w:type="character" w:customStyle="1" w:styleId="TitoloFrontespizioCarattere">
    <w:name w:val="Titolo Frontespizio Carattere"/>
    <w:basedOn w:val="Titolo1Carattere"/>
    <w:link w:val="TitoloFrontespizio"/>
    <w:rsid w:val="00DF46D3"/>
    <w:rPr>
      <w:rFonts w:ascii="Helvetica" w:eastAsiaTheme="majorEastAsia" w:hAnsi="Helvetica" w:cstheme="majorBidi"/>
      <w:b/>
      <w:bCs/>
      <w:caps/>
      <w:color w:val="1E2B86" w:themeColor="accent5"/>
      <w:sz w:val="48"/>
      <w:szCs w:val="48"/>
    </w:rPr>
  </w:style>
  <w:style w:type="paragraph" w:customStyle="1" w:styleId="ISFOLAutori">
    <w:name w:val="ISFOL Autori"/>
    <w:basedOn w:val="Sottosottotitoloprincipale"/>
    <w:link w:val="ISFOLAutoriCarattere"/>
    <w:qFormat/>
    <w:rsid w:val="003E76A6"/>
    <w:rPr>
      <w:b/>
      <w:color w:val="656565" w:themeColor="accent3"/>
      <w:sz w:val="38"/>
    </w:rPr>
  </w:style>
  <w:style w:type="paragraph" w:customStyle="1" w:styleId="ISFOLdata">
    <w:name w:val="ISFOL data"/>
    <w:basedOn w:val="Normale"/>
    <w:link w:val="ISFOLdataCarattere"/>
    <w:qFormat/>
    <w:rsid w:val="003E76A6"/>
    <w:rPr>
      <w:color w:val="727272" w:themeColor="accent2"/>
      <w:sz w:val="24"/>
      <w:lang w:val="it-IT"/>
    </w:rPr>
  </w:style>
  <w:style w:type="character" w:customStyle="1" w:styleId="ISFOLAutoriCarattere">
    <w:name w:val="ISFOL Autori Carattere"/>
    <w:basedOn w:val="SottosottotitoloprincipaleCarattere"/>
    <w:link w:val="ISFOLAutori"/>
    <w:rsid w:val="003E76A6"/>
    <w:rPr>
      <w:rFonts w:ascii="Helvetica" w:hAnsi="Helvetica"/>
      <w:b/>
      <w:bCs/>
      <w:color w:val="656565" w:themeColor="accent3"/>
      <w:sz w:val="38"/>
      <w:szCs w:val="28"/>
    </w:rPr>
  </w:style>
  <w:style w:type="character" w:customStyle="1" w:styleId="ISFOLdataCarattere">
    <w:name w:val="ISFOL data Carattere"/>
    <w:basedOn w:val="Carpredefinitoparagrafo"/>
    <w:link w:val="ISFOLdata"/>
    <w:rsid w:val="003E76A6"/>
    <w:rPr>
      <w:rFonts w:ascii="Helvetica" w:hAnsi="Helvetica"/>
      <w:color w:val="727272" w:themeColor="accent2"/>
      <w:sz w:val="24"/>
      <w:lang w:val="it-IT"/>
    </w:rPr>
  </w:style>
  <w:style w:type="paragraph" w:customStyle="1" w:styleId="Inglese">
    <w:name w:val="Inglese"/>
    <w:basedOn w:val="Normale"/>
    <w:link w:val="IngleseCarattere"/>
    <w:qFormat/>
    <w:rsid w:val="001115FB"/>
    <w:rPr>
      <w:i/>
      <w:lang w:val="it-IT"/>
    </w:rPr>
  </w:style>
  <w:style w:type="character" w:styleId="Collegamentoipertestuale">
    <w:name w:val="Hyperlink"/>
    <w:basedOn w:val="Carpredefinitoparagrafo"/>
    <w:uiPriority w:val="99"/>
    <w:unhideWhenUsed/>
    <w:rsid w:val="001115FB"/>
    <w:rPr>
      <w:color w:val="0077B3" w:themeColor="hyperlink"/>
      <w:u w:val="single"/>
    </w:rPr>
  </w:style>
  <w:style w:type="character" w:customStyle="1" w:styleId="IngleseCarattere">
    <w:name w:val="Inglese Carattere"/>
    <w:basedOn w:val="Carpredefinitoparagrafo"/>
    <w:link w:val="Inglese"/>
    <w:rsid w:val="001115FB"/>
    <w:rPr>
      <w:rFonts w:ascii="Helvetica" w:hAnsi="Helvetica"/>
      <w:i/>
      <w:sz w:val="20"/>
      <w:lang w:val="it-IT"/>
    </w:rPr>
  </w:style>
  <w:style w:type="paragraph" w:customStyle="1" w:styleId="Indice">
    <w:name w:val="Indice"/>
    <w:basedOn w:val="Sommario1"/>
    <w:link w:val="IndiceCarattere"/>
    <w:qFormat/>
    <w:rsid w:val="003B3B2C"/>
    <w:pPr>
      <w:tabs>
        <w:tab w:val="right" w:leader="dot" w:pos="8497"/>
      </w:tabs>
      <w:spacing w:line="480" w:lineRule="auto"/>
    </w:pPr>
    <w:rPr>
      <w:noProof/>
    </w:rPr>
  </w:style>
  <w:style w:type="paragraph" w:customStyle="1" w:styleId="Paragrafobase">
    <w:name w:val="[Paragrafo base]"/>
    <w:basedOn w:val="Normale"/>
    <w:uiPriority w:val="99"/>
    <w:rsid w:val="003B3B2C"/>
    <w:pPr>
      <w:autoSpaceDE w:val="0"/>
      <w:autoSpaceDN w:val="0"/>
      <w:adjustRightInd w:val="0"/>
      <w:spacing w:after="0" w:line="288" w:lineRule="auto"/>
      <w:contextualSpacing w:val="0"/>
      <w:jc w:val="left"/>
      <w:textAlignment w:val="center"/>
    </w:pPr>
    <w:rPr>
      <w:rFonts w:ascii="Minion Pro" w:hAnsi="Minion Pro" w:cs="Minion Pro"/>
      <w:color w:val="000000"/>
      <w:sz w:val="24"/>
      <w:szCs w:val="24"/>
      <w:lang w:val="en-GB"/>
    </w:rPr>
  </w:style>
  <w:style w:type="character" w:customStyle="1" w:styleId="Sommario1Carattere">
    <w:name w:val="Sommario 1 Carattere"/>
    <w:basedOn w:val="Carpredefinitoparagrafo"/>
    <w:link w:val="Sommario1"/>
    <w:uiPriority w:val="39"/>
    <w:rsid w:val="003B3B2C"/>
    <w:rPr>
      <w:rFonts w:ascii="Helvetica" w:hAnsi="Helvetica"/>
      <w:sz w:val="20"/>
    </w:rPr>
  </w:style>
  <w:style w:type="character" w:customStyle="1" w:styleId="IndiceCarattere">
    <w:name w:val="Indice Carattere"/>
    <w:basedOn w:val="Sommario1Carattere"/>
    <w:link w:val="Indice"/>
    <w:rsid w:val="003B3B2C"/>
    <w:rPr>
      <w:rFonts w:ascii="Helvetica" w:hAnsi="Helvetica"/>
      <w:noProof/>
      <w:sz w:val="20"/>
    </w:rPr>
  </w:style>
  <w:style w:type="paragraph" w:customStyle="1" w:styleId="Titolo2BrochureISFOL">
    <w:name w:val="Titolo 2 Brochure ISFOL"/>
    <w:basedOn w:val="Normale"/>
    <w:next w:val="Normale"/>
    <w:qFormat/>
    <w:rsid w:val="00780F62"/>
    <w:pPr>
      <w:spacing w:after="0"/>
      <w:jc w:val="left"/>
    </w:pPr>
    <w:rPr>
      <w:bCs/>
      <w:caps/>
      <w:color w:val="8D8D8D" w:themeColor="accent1"/>
      <w:sz w:val="22"/>
      <w:szCs w:val="24"/>
      <w:lang w:val="it-IT" w:eastAsia="it-IT"/>
    </w:rPr>
  </w:style>
  <w:style w:type="paragraph" w:customStyle="1" w:styleId="Testopiccolo">
    <w:name w:val="Testo piccolo"/>
    <w:basedOn w:val="Normale"/>
    <w:qFormat/>
    <w:rsid w:val="00780F62"/>
    <w:pPr>
      <w:spacing w:after="0"/>
      <w:contextualSpacing w:val="0"/>
      <w:jc w:val="left"/>
    </w:pPr>
    <w:rPr>
      <w:color w:val="8D8D8D" w:themeColor="accent1"/>
      <w:sz w:val="18"/>
      <w:szCs w:val="18"/>
      <w:lang w:val="it-IT" w:eastAsia="it-IT"/>
    </w:rPr>
  </w:style>
  <w:style w:type="character" w:customStyle="1" w:styleId="lbdttlbdttvallbdttvaltitolo">
    <w:name w:val="lb_dtt lb_dtt_val lb_dtt_val_titolo"/>
    <w:basedOn w:val="Carpredefinitoparagrafo"/>
    <w:rsid w:val="001A1D8E"/>
  </w:style>
  <w:style w:type="character" w:customStyle="1" w:styleId="lbdttlbdttvallbdttvalresto">
    <w:name w:val="lb_dtt lb_dtt_val lb_dtt_val_resto"/>
    <w:basedOn w:val="Carpredefinitoparagrafo"/>
    <w:rsid w:val="001A1D8E"/>
  </w:style>
  <w:style w:type="character" w:customStyle="1" w:styleId="lbdttlbdtthh">
    <w:name w:val="lb_dtt lb_dtt_hh"/>
    <w:basedOn w:val="Carpredefinitoparagrafo"/>
    <w:rsid w:val="001A1D8E"/>
  </w:style>
  <w:style w:type="character" w:customStyle="1" w:styleId="lblbdttlbdtthh">
    <w:name w:val="lb lb_dtt lb_dtt_hh"/>
    <w:basedOn w:val="Carpredefinitoparagrafo"/>
    <w:rsid w:val="001A1D8E"/>
  </w:style>
  <w:style w:type="character" w:customStyle="1" w:styleId="lblbdttlbdtthhspace">
    <w:name w:val="lb lb_dtt lb_dtt_hh_space"/>
    <w:basedOn w:val="Carpredefinitoparagrafo"/>
    <w:rsid w:val="001A1D8E"/>
  </w:style>
  <w:style w:type="character" w:customStyle="1" w:styleId="apple-converted-space">
    <w:name w:val="apple-converted-space"/>
    <w:basedOn w:val="Carpredefinitoparagrafo"/>
    <w:rsid w:val="003C19B6"/>
  </w:style>
  <w:style w:type="paragraph" w:customStyle="1" w:styleId="Default">
    <w:name w:val="Default"/>
    <w:rsid w:val="00301EAC"/>
    <w:pPr>
      <w:autoSpaceDE w:val="0"/>
      <w:autoSpaceDN w:val="0"/>
      <w:adjustRightInd w:val="0"/>
    </w:pPr>
    <w:rPr>
      <w:rFonts w:ascii="Calibri" w:eastAsia="Times New Roman" w:hAnsi="Calibri" w:cs="Calibri"/>
      <w:color w:val="000000"/>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56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iblioteca@isfol.it" TargetMode="External"/><Relationship Id="rId18" Type="http://schemas.openxmlformats.org/officeDocument/2006/relationships/hyperlink" Target="http://www.isfol.it/open-data-delle-ricerche/dati-della-ricerc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mailto:biblioteca@isfol.it"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isfol.it"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www.isfol.it"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www.isfol.it/open-data-delle-ricerche/dati-della-ricerca" TargetMode="External"/><Relationship Id="rId22" Type="http://schemas.openxmlformats.org/officeDocument/2006/relationships/header" Target="header2.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Presentazione1">
  <a:themeElements>
    <a:clrScheme name="Colori ISFOL">
      <a:dk1>
        <a:sysClr val="windowText" lastClr="000000"/>
      </a:dk1>
      <a:lt1>
        <a:sysClr val="window" lastClr="FFFFFF"/>
      </a:lt1>
      <a:dk2>
        <a:srgbClr val="E3E3E3"/>
      </a:dk2>
      <a:lt2>
        <a:srgbClr val="B2B2B2"/>
      </a:lt2>
      <a:accent1>
        <a:srgbClr val="8D8D8D"/>
      </a:accent1>
      <a:accent2>
        <a:srgbClr val="727272"/>
      </a:accent2>
      <a:accent3>
        <a:srgbClr val="656565"/>
      </a:accent3>
      <a:accent4>
        <a:srgbClr val="E27222"/>
      </a:accent4>
      <a:accent5>
        <a:srgbClr val="1E2B86"/>
      </a:accent5>
      <a:accent6>
        <a:srgbClr val="008E6D"/>
      </a:accent6>
      <a:hlink>
        <a:srgbClr val="0077B3"/>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4D11B-6454-4171-83E1-632395BE1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15</Pages>
  <Words>6010</Words>
  <Characters>34263</Characters>
  <Application>Microsoft Office Word</Application>
  <DocSecurity>0</DocSecurity>
  <Lines>285</Lines>
  <Paragraphs>80</Paragraphs>
  <ScaleCrop>false</ScaleCrop>
  <HeadingPairs>
    <vt:vector size="4" baseType="variant">
      <vt:variant>
        <vt:lpstr>Titolo</vt:lpstr>
      </vt:variant>
      <vt:variant>
        <vt:i4>1</vt:i4>
      </vt:variant>
      <vt:variant>
        <vt:lpstr>Headings</vt:lpstr>
      </vt:variant>
      <vt:variant>
        <vt:i4>3</vt:i4>
      </vt:variant>
    </vt:vector>
  </HeadingPairs>
  <TitlesOfParts>
    <vt:vector size="4" baseType="lpstr">
      <vt:lpstr/>
      <vt:lpstr>Praesent timor</vt:lpstr>
      <vt:lpstr>Suspendisse Ipsum</vt:lpstr>
      <vt:lpstr>Suspendisse Ipsum</vt:lpstr>
    </vt:vector>
  </TitlesOfParts>
  <Company>Olidata S.p.A.</Company>
  <LinksUpToDate>false</LinksUpToDate>
  <CharactersWithSpaces>40193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sirio strika</dc:creator>
  <cp:lastModifiedBy>Carlucci Chiara</cp:lastModifiedBy>
  <cp:revision>46</cp:revision>
  <cp:lastPrinted>2014-01-13T15:18:00Z</cp:lastPrinted>
  <dcterms:created xsi:type="dcterms:W3CDTF">2016-06-16T13:20:00Z</dcterms:created>
  <dcterms:modified xsi:type="dcterms:W3CDTF">2016-06-21T12:53:00Z</dcterms:modified>
</cp:coreProperties>
</file>