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2F" w:rsidRDefault="001E5D88">
      <w:r>
        <w:rPr>
          <w:noProof/>
          <w:lang w:eastAsia="it-IT"/>
        </w:rPr>
        <w:drawing>
          <wp:inline distT="0" distB="0" distL="0" distR="0">
            <wp:extent cx="9014604" cy="5702061"/>
            <wp:effectExtent l="0" t="0" r="15240" b="13335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E5D88" w:rsidRPr="00085144" w:rsidRDefault="00085144">
      <w:pPr>
        <w:rPr>
          <w:b/>
        </w:rPr>
      </w:pPr>
      <w:r w:rsidRPr="00085144">
        <w:rPr>
          <w:b/>
        </w:rPr>
        <w:t xml:space="preserve">Fonte: </w:t>
      </w:r>
      <w:proofErr w:type="spellStart"/>
      <w:r w:rsidRPr="00085144">
        <w:rPr>
          <w:b/>
        </w:rPr>
        <w:t>Eurostat</w:t>
      </w:r>
      <w:proofErr w:type="spellEnd"/>
      <w:r w:rsidRPr="00085144">
        <w:rPr>
          <w:b/>
        </w:rPr>
        <w:t xml:space="preserve"> 2014</w:t>
      </w:r>
    </w:p>
    <w:p w:rsidR="005F2DDF" w:rsidRDefault="005F2DDF">
      <w:r>
        <w:rPr>
          <w:noProof/>
          <w:lang w:eastAsia="it-IT"/>
        </w:rPr>
        <w:lastRenderedPageBreak/>
        <w:drawing>
          <wp:inline distT="0" distB="0" distL="0" distR="0" wp14:anchorId="31764867" wp14:editId="21C45A08">
            <wp:extent cx="9014604" cy="5702061"/>
            <wp:effectExtent l="0" t="0" r="15240" b="13335"/>
            <wp:docPr id="2" name="Gra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F2DDF" w:rsidRPr="00085144" w:rsidRDefault="00085144">
      <w:pPr>
        <w:rPr>
          <w:b/>
        </w:rPr>
      </w:pPr>
      <w:r w:rsidRPr="00085144">
        <w:rPr>
          <w:b/>
        </w:rPr>
        <w:t xml:space="preserve">Fonte: </w:t>
      </w:r>
      <w:proofErr w:type="spellStart"/>
      <w:r w:rsidRPr="00085144">
        <w:rPr>
          <w:b/>
        </w:rPr>
        <w:t>Eurostat</w:t>
      </w:r>
      <w:proofErr w:type="spellEnd"/>
      <w:r w:rsidRPr="00085144">
        <w:rPr>
          <w:b/>
        </w:rPr>
        <w:t xml:space="preserve"> 2014</w:t>
      </w:r>
    </w:p>
    <w:p w:rsidR="005F2DDF" w:rsidRDefault="005F2DDF">
      <w:r>
        <w:rPr>
          <w:noProof/>
          <w:lang w:eastAsia="it-IT"/>
        </w:rPr>
        <w:lastRenderedPageBreak/>
        <w:drawing>
          <wp:inline distT="0" distB="0" distL="0" distR="0" wp14:anchorId="0C056FBC" wp14:editId="479C498D">
            <wp:extent cx="9014604" cy="5702061"/>
            <wp:effectExtent l="0" t="0" r="15240" b="13335"/>
            <wp:docPr id="3" name="Gra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085144" w:rsidRPr="00085144" w:rsidRDefault="00085144">
      <w:pPr>
        <w:rPr>
          <w:b/>
        </w:rPr>
      </w:pPr>
      <w:r w:rsidRPr="00085144">
        <w:rPr>
          <w:b/>
        </w:rPr>
        <w:t xml:space="preserve">Fonte: </w:t>
      </w:r>
      <w:proofErr w:type="spellStart"/>
      <w:r w:rsidRPr="00085144">
        <w:rPr>
          <w:b/>
        </w:rPr>
        <w:t>Eurostat</w:t>
      </w:r>
      <w:proofErr w:type="spellEnd"/>
      <w:r w:rsidRPr="00085144">
        <w:rPr>
          <w:b/>
        </w:rPr>
        <w:t xml:space="preserve"> 2014</w:t>
      </w:r>
    </w:p>
    <w:sectPr w:rsidR="00085144" w:rsidRPr="00085144" w:rsidSect="001E5D8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88"/>
    <w:rsid w:val="00085144"/>
    <w:rsid w:val="001833B0"/>
    <w:rsid w:val="001E5D88"/>
    <w:rsid w:val="005F2DDF"/>
    <w:rsid w:val="00A44FE7"/>
    <w:rsid w:val="00AD0360"/>
    <w:rsid w:val="00C3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5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5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5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5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Studenti in istruzione professionale - % sul totale degli studenti</a:t>
            </a:r>
          </a:p>
          <a:p>
            <a:pPr>
              <a:defRPr/>
            </a:pPr>
            <a:r>
              <a:rPr lang="en-US"/>
              <a:t>UE 2012 - Totale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Colonna1</c:v>
                </c:pt>
              </c:strCache>
            </c:strRef>
          </c:tx>
          <c:invertIfNegative val="0"/>
          <c:dPt>
            <c:idx val="13"/>
            <c:invertIfNegative val="0"/>
            <c:bubble3D val="0"/>
            <c:spPr>
              <a:solidFill>
                <a:srgbClr val="C00000"/>
              </a:solidFill>
            </c:spPr>
          </c:dPt>
          <c:dPt>
            <c:idx val="16"/>
            <c:invertIfNegative val="0"/>
            <c:bubble3D val="0"/>
            <c:spPr>
              <a:solidFill>
                <a:srgbClr val="00B050"/>
              </a:solidFill>
            </c:spPr>
          </c:dPt>
          <c:dLbls>
            <c:txPr>
              <a:bodyPr rot="-54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Foglio1!$A$2:$A$36</c:f>
              <c:strCache>
                <c:ptCount val="35"/>
                <c:pt idx="0">
                  <c:v>Liechtenstein</c:v>
                </c:pt>
                <c:pt idx="1">
                  <c:v>Austria</c:v>
                </c:pt>
                <c:pt idx="2">
                  <c:v>Belgio</c:v>
                </c:pt>
                <c:pt idx="3">
                  <c:v>Rep. Ceca</c:v>
                </c:pt>
                <c:pt idx="4">
                  <c:v>Croazia</c:v>
                </c:pt>
                <c:pt idx="5">
                  <c:v>Slovacchia</c:v>
                </c:pt>
                <c:pt idx="6">
                  <c:v>Finlandia</c:v>
                </c:pt>
                <c:pt idx="7">
                  <c:v>Olanda</c:v>
                </c:pt>
                <c:pt idx="8">
                  <c:v>Slovenia</c:v>
                </c:pt>
                <c:pt idx="9">
                  <c:v>Svizzera</c:v>
                </c:pt>
                <c:pt idx="10">
                  <c:v>Romania</c:v>
                </c:pt>
                <c:pt idx="11">
                  <c:v>Lussemburgo</c:v>
                </c:pt>
                <c:pt idx="12">
                  <c:v>FYR</c:v>
                </c:pt>
                <c:pt idx="13">
                  <c:v>ITALIA</c:v>
                </c:pt>
                <c:pt idx="14">
                  <c:v>Norvegia</c:v>
                </c:pt>
                <c:pt idx="15">
                  <c:v>Bulgaria</c:v>
                </c:pt>
                <c:pt idx="16">
                  <c:v>UE 28</c:v>
                </c:pt>
                <c:pt idx="17">
                  <c:v>Svezia</c:v>
                </c:pt>
                <c:pt idx="18">
                  <c:v>Germania</c:v>
                </c:pt>
                <c:pt idx="19">
                  <c:v>Polonia</c:v>
                </c:pt>
                <c:pt idx="20">
                  <c:v>Danimarca</c:v>
                </c:pt>
                <c:pt idx="21">
                  <c:v>Spagna</c:v>
                </c:pt>
                <c:pt idx="22">
                  <c:v>Francia</c:v>
                </c:pt>
                <c:pt idx="23">
                  <c:v>Turchia</c:v>
                </c:pt>
                <c:pt idx="24">
                  <c:v>Portogallo</c:v>
                </c:pt>
                <c:pt idx="25">
                  <c:v>Lettonia</c:v>
                </c:pt>
                <c:pt idx="26">
                  <c:v>Gran Bretagna</c:v>
                </c:pt>
                <c:pt idx="27">
                  <c:v>Estonia</c:v>
                </c:pt>
                <c:pt idx="28">
                  <c:v>Islanda</c:v>
                </c:pt>
                <c:pt idx="29">
                  <c:v>Grecia</c:v>
                </c:pt>
                <c:pt idx="30">
                  <c:v>Irlanda</c:v>
                </c:pt>
                <c:pt idx="31">
                  <c:v>Lituania</c:v>
                </c:pt>
                <c:pt idx="32">
                  <c:v>Ungheria</c:v>
                </c:pt>
                <c:pt idx="33">
                  <c:v>Cipro</c:v>
                </c:pt>
                <c:pt idx="34">
                  <c:v>Malta</c:v>
                </c:pt>
              </c:strCache>
            </c:strRef>
          </c:cat>
          <c:val>
            <c:numRef>
              <c:f>Foglio1!$B$2:$B$36</c:f>
              <c:numCache>
                <c:formatCode>#,##0.0</c:formatCode>
                <c:ptCount val="35"/>
                <c:pt idx="0">
                  <c:v>77.5</c:v>
                </c:pt>
                <c:pt idx="1">
                  <c:v>75.3</c:v>
                </c:pt>
                <c:pt idx="2">
                  <c:v>72.8</c:v>
                </c:pt>
                <c:pt idx="3">
                  <c:v>72.7</c:v>
                </c:pt>
                <c:pt idx="4">
                  <c:v>71.3</c:v>
                </c:pt>
                <c:pt idx="5">
                  <c:v>70.3</c:v>
                </c:pt>
                <c:pt idx="6">
                  <c:v>70.099999999999994</c:v>
                </c:pt>
                <c:pt idx="7">
                  <c:v>69.5</c:v>
                </c:pt>
                <c:pt idx="8">
                  <c:v>66.2</c:v>
                </c:pt>
                <c:pt idx="9">
                  <c:v>65.2</c:v>
                </c:pt>
                <c:pt idx="10">
                  <c:v>61.9</c:v>
                </c:pt>
                <c:pt idx="11">
                  <c:v>60.7</c:v>
                </c:pt>
                <c:pt idx="12">
                  <c:v>59.8</c:v>
                </c:pt>
                <c:pt idx="13">
                  <c:v>59.2</c:v>
                </c:pt>
                <c:pt idx="14">
                  <c:v>52</c:v>
                </c:pt>
                <c:pt idx="15">
                  <c:v>50.6</c:v>
                </c:pt>
                <c:pt idx="16">
                  <c:v>50.4</c:v>
                </c:pt>
                <c:pt idx="17">
                  <c:v>49.4</c:v>
                </c:pt>
                <c:pt idx="18">
                  <c:v>48.3</c:v>
                </c:pt>
                <c:pt idx="19">
                  <c:v>48.2</c:v>
                </c:pt>
                <c:pt idx="20">
                  <c:v>46.1</c:v>
                </c:pt>
                <c:pt idx="21">
                  <c:v>45.5</c:v>
                </c:pt>
                <c:pt idx="22">
                  <c:v>44.2</c:v>
                </c:pt>
                <c:pt idx="23">
                  <c:v>43.9</c:v>
                </c:pt>
                <c:pt idx="24">
                  <c:v>43.6</c:v>
                </c:pt>
                <c:pt idx="25">
                  <c:v>39</c:v>
                </c:pt>
                <c:pt idx="26">
                  <c:v>38.6</c:v>
                </c:pt>
                <c:pt idx="27">
                  <c:v>34.1</c:v>
                </c:pt>
                <c:pt idx="28">
                  <c:v>33.6</c:v>
                </c:pt>
                <c:pt idx="29">
                  <c:v>33.1</c:v>
                </c:pt>
                <c:pt idx="30">
                  <c:v>32.200000000000003</c:v>
                </c:pt>
                <c:pt idx="31">
                  <c:v>28.7</c:v>
                </c:pt>
                <c:pt idx="32">
                  <c:v>27.3</c:v>
                </c:pt>
                <c:pt idx="33">
                  <c:v>13.2</c:v>
                </c:pt>
                <c:pt idx="34">
                  <c:v>11.8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1110784"/>
        <c:axId val="91433984"/>
      </c:barChart>
      <c:catAx>
        <c:axId val="91110784"/>
        <c:scaling>
          <c:orientation val="minMax"/>
        </c:scaling>
        <c:delete val="0"/>
        <c:axPos val="b"/>
        <c:majorTickMark val="out"/>
        <c:minorTickMark val="none"/>
        <c:tickLblPos val="nextTo"/>
        <c:crossAx val="91433984"/>
        <c:crosses val="autoZero"/>
        <c:auto val="1"/>
        <c:lblAlgn val="ctr"/>
        <c:lblOffset val="100"/>
        <c:noMultiLvlLbl val="0"/>
      </c:catAx>
      <c:valAx>
        <c:axId val="91433984"/>
        <c:scaling>
          <c:orientation val="minMax"/>
        </c:scaling>
        <c:delete val="0"/>
        <c:axPos val="l"/>
        <c:majorGridlines/>
        <c:numFmt formatCode="#,##0.0" sourceLinked="1"/>
        <c:majorTickMark val="out"/>
        <c:minorTickMark val="none"/>
        <c:tickLblPos val="nextTo"/>
        <c:crossAx val="911107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Studenti in istruzione professionale - % sul totale degli studenti</a:t>
            </a:r>
          </a:p>
          <a:p>
            <a:pPr>
              <a:defRPr/>
            </a:pPr>
            <a:r>
              <a:rPr lang="en-US"/>
              <a:t>UE 2012 - Uomini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Colonna1</c:v>
                </c:pt>
              </c:strCache>
            </c:strRef>
          </c:tx>
          <c:invertIfNegative val="0"/>
          <c:dPt>
            <c:idx val="11"/>
            <c:invertIfNegative val="0"/>
            <c:bubble3D val="0"/>
            <c:spPr>
              <a:solidFill>
                <a:srgbClr val="C00000"/>
              </a:solidFill>
            </c:spPr>
          </c:dPt>
          <c:dPt>
            <c:idx val="17"/>
            <c:invertIfNegative val="0"/>
            <c:bubble3D val="0"/>
            <c:spPr>
              <a:solidFill>
                <a:srgbClr val="00B050"/>
              </a:solidFill>
            </c:spPr>
          </c:dPt>
          <c:dLbls>
            <c:txPr>
              <a:bodyPr rot="-54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Foglio1!$A$2:$A$36</c:f>
              <c:strCache>
                <c:ptCount val="35"/>
                <c:pt idx="0">
                  <c:v>Liechtenstein</c:v>
                </c:pt>
                <c:pt idx="1">
                  <c:v>Austria</c:v>
                </c:pt>
                <c:pt idx="2">
                  <c:v>Rep. Ceca</c:v>
                </c:pt>
                <c:pt idx="3">
                  <c:v>Croazia</c:v>
                </c:pt>
                <c:pt idx="4">
                  <c:v>Slovacchia</c:v>
                </c:pt>
                <c:pt idx="5">
                  <c:v>Slovenia</c:v>
                </c:pt>
                <c:pt idx="6">
                  <c:v>Finlandia</c:v>
                </c:pt>
                <c:pt idx="7">
                  <c:v>Belgio</c:v>
                </c:pt>
                <c:pt idx="8">
                  <c:v>Olanda</c:v>
                </c:pt>
                <c:pt idx="9">
                  <c:v>Svizzera</c:v>
                </c:pt>
                <c:pt idx="10">
                  <c:v>Romania</c:v>
                </c:pt>
                <c:pt idx="11">
                  <c:v>ITALIA</c:v>
                </c:pt>
                <c:pt idx="12">
                  <c:v>FYR</c:v>
                </c:pt>
                <c:pt idx="13">
                  <c:v>Lussemburgo</c:v>
                </c:pt>
                <c:pt idx="14">
                  <c:v>Norvegia</c:v>
                </c:pt>
                <c:pt idx="15">
                  <c:v>Bulgaria</c:v>
                </c:pt>
                <c:pt idx="16">
                  <c:v>Polonia</c:v>
                </c:pt>
                <c:pt idx="17">
                  <c:v>UE 28</c:v>
                </c:pt>
                <c:pt idx="18">
                  <c:v>Germania</c:v>
                </c:pt>
                <c:pt idx="19">
                  <c:v>Svezia</c:v>
                </c:pt>
                <c:pt idx="20">
                  <c:v>Danimarca</c:v>
                </c:pt>
                <c:pt idx="21">
                  <c:v>Francia</c:v>
                </c:pt>
                <c:pt idx="22">
                  <c:v>Spagna</c:v>
                </c:pt>
                <c:pt idx="23">
                  <c:v>Portogallo</c:v>
                </c:pt>
                <c:pt idx="24">
                  <c:v>Lettonia</c:v>
                </c:pt>
                <c:pt idx="25">
                  <c:v>Turchia</c:v>
                </c:pt>
                <c:pt idx="26">
                  <c:v>Estonia</c:v>
                </c:pt>
                <c:pt idx="27">
                  <c:v>Grecia</c:v>
                </c:pt>
                <c:pt idx="28">
                  <c:v>Islanda</c:v>
                </c:pt>
                <c:pt idx="29">
                  <c:v>Gran Bretagna</c:v>
                </c:pt>
                <c:pt idx="30">
                  <c:v>Lituania</c:v>
                </c:pt>
                <c:pt idx="31">
                  <c:v>Ungheria</c:v>
                </c:pt>
                <c:pt idx="32">
                  <c:v>Irlanda</c:v>
                </c:pt>
                <c:pt idx="33">
                  <c:v>Cipro</c:v>
                </c:pt>
                <c:pt idx="34">
                  <c:v>Malta</c:v>
                </c:pt>
              </c:strCache>
            </c:strRef>
          </c:cat>
          <c:val>
            <c:numRef>
              <c:f>Foglio1!$B$2:$B$36</c:f>
              <c:numCache>
                <c:formatCode>#,##0.0</c:formatCode>
                <c:ptCount val="35"/>
                <c:pt idx="0">
                  <c:v>83.3</c:v>
                </c:pt>
                <c:pt idx="1">
                  <c:v>79.900000000000006</c:v>
                </c:pt>
                <c:pt idx="2">
                  <c:v>78.5</c:v>
                </c:pt>
                <c:pt idx="3">
                  <c:v>78.2</c:v>
                </c:pt>
                <c:pt idx="4">
                  <c:v>76.099999999999994</c:v>
                </c:pt>
                <c:pt idx="5">
                  <c:v>73.099999999999994</c:v>
                </c:pt>
                <c:pt idx="6">
                  <c:v>72.900000000000006</c:v>
                </c:pt>
                <c:pt idx="7">
                  <c:v>72.599999999999994</c:v>
                </c:pt>
                <c:pt idx="8">
                  <c:v>71</c:v>
                </c:pt>
                <c:pt idx="9">
                  <c:v>70.900000000000006</c:v>
                </c:pt>
                <c:pt idx="10">
                  <c:v>69.900000000000006</c:v>
                </c:pt>
                <c:pt idx="11">
                  <c:v>69.400000000000006</c:v>
                </c:pt>
                <c:pt idx="12">
                  <c:v>64.400000000000006</c:v>
                </c:pt>
                <c:pt idx="13">
                  <c:v>63.3</c:v>
                </c:pt>
                <c:pt idx="14">
                  <c:v>58.9</c:v>
                </c:pt>
                <c:pt idx="15">
                  <c:v>58.5</c:v>
                </c:pt>
                <c:pt idx="16">
                  <c:v>58.4</c:v>
                </c:pt>
                <c:pt idx="17">
                  <c:v>55.7</c:v>
                </c:pt>
                <c:pt idx="18">
                  <c:v>55.6</c:v>
                </c:pt>
                <c:pt idx="19">
                  <c:v>51.6</c:v>
                </c:pt>
                <c:pt idx="20">
                  <c:v>51</c:v>
                </c:pt>
                <c:pt idx="21">
                  <c:v>49.6</c:v>
                </c:pt>
                <c:pt idx="22">
                  <c:v>48.8</c:v>
                </c:pt>
                <c:pt idx="23">
                  <c:v>48.4</c:v>
                </c:pt>
                <c:pt idx="24">
                  <c:v>45.8</c:v>
                </c:pt>
                <c:pt idx="25">
                  <c:v>45.6</c:v>
                </c:pt>
                <c:pt idx="26">
                  <c:v>44.2</c:v>
                </c:pt>
                <c:pt idx="27">
                  <c:v>39.5</c:v>
                </c:pt>
                <c:pt idx="28">
                  <c:v>38.799999999999997</c:v>
                </c:pt>
                <c:pt idx="29">
                  <c:v>38.6</c:v>
                </c:pt>
                <c:pt idx="30">
                  <c:v>35.799999999999997</c:v>
                </c:pt>
                <c:pt idx="31">
                  <c:v>32.200000000000003</c:v>
                </c:pt>
                <c:pt idx="32">
                  <c:v>30.9</c:v>
                </c:pt>
                <c:pt idx="33">
                  <c:v>21.2</c:v>
                </c:pt>
                <c:pt idx="34">
                  <c:v>14.5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1481984"/>
        <c:axId val="91567616"/>
      </c:barChart>
      <c:catAx>
        <c:axId val="91481984"/>
        <c:scaling>
          <c:orientation val="minMax"/>
        </c:scaling>
        <c:delete val="0"/>
        <c:axPos val="b"/>
        <c:majorTickMark val="out"/>
        <c:minorTickMark val="none"/>
        <c:tickLblPos val="nextTo"/>
        <c:crossAx val="91567616"/>
        <c:crosses val="autoZero"/>
        <c:auto val="1"/>
        <c:lblAlgn val="ctr"/>
        <c:lblOffset val="100"/>
        <c:noMultiLvlLbl val="0"/>
      </c:catAx>
      <c:valAx>
        <c:axId val="91567616"/>
        <c:scaling>
          <c:orientation val="minMax"/>
        </c:scaling>
        <c:delete val="0"/>
        <c:axPos val="l"/>
        <c:majorGridlines/>
        <c:numFmt formatCode="#,##0.0" sourceLinked="1"/>
        <c:majorTickMark val="out"/>
        <c:minorTickMark val="none"/>
        <c:tickLblPos val="nextTo"/>
        <c:crossAx val="914819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Studenti in istruzione professionale - % sul totale degli studenti</a:t>
            </a:r>
          </a:p>
          <a:p>
            <a:pPr>
              <a:defRPr/>
            </a:pPr>
            <a:r>
              <a:rPr lang="en-US"/>
              <a:t>UE 2012 - Donne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Colonna1</c:v>
                </c:pt>
              </c:strCache>
            </c:strRef>
          </c:tx>
          <c:invertIfNegative val="0"/>
          <c:dPt>
            <c:idx val="13"/>
            <c:invertIfNegative val="0"/>
            <c:bubble3D val="0"/>
            <c:spPr>
              <a:solidFill>
                <a:srgbClr val="C00000"/>
              </a:solidFill>
            </c:spPr>
          </c:dPt>
          <c:dPt>
            <c:idx val="15"/>
            <c:invertIfNegative val="0"/>
            <c:bubble3D val="0"/>
            <c:spPr>
              <a:solidFill>
                <a:srgbClr val="00B050"/>
              </a:solidFill>
            </c:spPr>
          </c:dPt>
          <c:dLbls>
            <c:txPr>
              <a:bodyPr rot="-54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Foglio1!$A$2:$A$36</c:f>
              <c:strCache>
                <c:ptCount val="35"/>
                <c:pt idx="0">
                  <c:v>Belgio</c:v>
                </c:pt>
                <c:pt idx="1">
                  <c:v>Austria</c:v>
                </c:pt>
                <c:pt idx="2">
                  <c:v>Liechtenstein</c:v>
                </c:pt>
                <c:pt idx="3">
                  <c:v>Olanda</c:v>
                </c:pt>
                <c:pt idx="4">
                  <c:v>Finlandia</c:v>
                </c:pt>
                <c:pt idx="5">
                  <c:v>Rep. Ceca</c:v>
                </c:pt>
                <c:pt idx="6">
                  <c:v>Slovacchia</c:v>
                </c:pt>
                <c:pt idx="7">
                  <c:v>Croazia</c:v>
                </c:pt>
                <c:pt idx="8">
                  <c:v>Slovenia</c:v>
                </c:pt>
                <c:pt idx="9">
                  <c:v>Svizzera</c:v>
                </c:pt>
                <c:pt idx="10">
                  <c:v>Lussemburgo</c:v>
                </c:pt>
                <c:pt idx="11">
                  <c:v>FYR</c:v>
                </c:pt>
                <c:pt idx="12">
                  <c:v>Romania</c:v>
                </c:pt>
                <c:pt idx="13">
                  <c:v>ITALIA</c:v>
                </c:pt>
                <c:pt idx="14">
                  <c:v>Svezia</c:v>
                </c:pt>
                <c:pt idx="15">
                  <c:v>UE 28</c:v>
                </c:pt>
                <c:pt idx="16">
                  <c:v>Norvegia</c:v>
                </c:pt>
                <c:pt idx="17">
                  <c:v>Spagna</c:v>
                </c:pt>
                <c:pt idx="18">
                  <c:v>Bulgaria</c:v>
                </c:pt>
                <c:pt idx="19">
                  <c:v>Turchia</c:v>
                </c:pt>
                <c:pt idx="20">
                  <c:v>Danimarca</c:v>
                </c:pt>
                <c:pt idx="21">
                  <c:v>Germania</c:v>
                </c:pt>
                <c:pt idx="22">
                  <c:v>Portogallo</c:v>
                </c:pt>
                <c:pt idx="23">
                  <c:v>Francia</c:v>
                </c:pt>
                <c:pt idx="24">
                  <c:v>Gran Bretagna</c:v>
                </c:pt>
                <c:pt idx="25">
                  <c:v>Polonia</c:v>
                </c:pt>
                <c:pt idx="26">
                  <c:v>Irlanda</c:v>
                </c:pt>
                <c:pt idx="27">
                  <c:v>Lettonia</c:v>
                </c:pt>
                <c:pt idx="28">
                  <c:v>Islanda</c:v>
                </c:pt>
                <c:pt idx="29">
                  <c:v>Grecia</c:v>
                </c:pt>
                <c:pt idx="30">
                  <c:v>Estonia</c:v>
                </c:pt>
                <c:pt idx="31">
                  <c:v>Ungheria</c:v>
                </c:pt>
                <c:pt idx="32">
                  <c:v>Lituania</c:v>
                </c:pt>
                <c:pt idx="33">
                  <c:v>Malta</c:v>
                </c:pt>
                <c:pt idx="34">
                  <c:v>Cipro</c:v>
                </c:pt>
              </c:strCache>
            </c:strRef>
          </c:cat>
          <c:val>
            <c:numRef>
              <c:f>Foglio1!$B$2:$B$36</c:f>
              <c:numCache>
                <c:formatCode>#,##0.0</c:formatCode>
                <c:ptCount val="35"/>
                <c:pt idx="0">
                  <c:v>73</c:v>
                </c:pt>
                <c:pt idx="1">
                  <c:v>70.099999999999994</c:v>
                </c:pt>
                <c:pt idx="2">
                  <c:v>69.5</c:v>
                </c:pt>
                <c:pt idx="3">
                  <c:v>68</c:v>
                </c:pt>
                <c:pt idx="4">
                  <c:v>67.599999999999994</c:v>
                </c:pt>
                <c:pt idx="5">
                  <c:v>66.8</c:v>
                </c:pt>
                <c:pt idx="6">
                  <c:v>64.599999999999994</c:v>
                </c:pt>
                <c:pt idx="7">
                  <c:v>64.3</c:v>
                </c:pt>
                <c:pt idx="8">
                  <c:v>58.8</c:v>
                </c:pt>
                <c:pt idx="9">
                  <c:v>58.8</c:v>
                </c:pt>
                <c:pt idx="10">
                  <c:v>58</c:v>
                </c:pt>
                <c:pt idx="11">
                  <c:v>54.8</c:v>
                </c:pt>
                <c:pt idx="12">
                  <c:v>53.5</c:v>
                </c:pt>
                <c:pt idx="13">
                  <c:v>48.4</c:v>
                </c:pt>
                <c:pt idx="14">
                  <c:v>47.5</c:v>
                </c:pt>
                <c:pt idx="15">
                  <c:v>45</c:v>
                </c:pt>
                <c:pt idx="16">
                  <c:v>44.3</c:v>
                </c:pt>
                <c:pt idx="17">
                  <c:v>42.3</c:v>
                </c:pt>
                <c:pt idx="18">
                  <c:v>42.1</c:v>
                </c:pt>
                <c:pt idx="19">
                  <c:v>42.1</c:v>
                </c:pt>
                <c:pt idx="20">
                  <c:v>41.2</c:v>
                </c:pt>
                <c:pt idx="21">
                  <c:v>39.6</c:v>
                </c:pt>
                <c:pt idx="22">
                  <c:v>38.799999999999997</c:v>
                </c:pt>
                <c:pt idx="23">
                  <c:v>38.700000000000003</c:v>
                </c:pt>
                <c:pt idx="24">
                  <c:v>38.6</c:v>
                </c:pt>
                <c:pt idx="25">
                  <c:v>37.200000000000003</c:v>
                </c:pt>
                <c:pt idx="26">
                  <c:v>33.5</c:v>
                </c:pt>
                <c:pt idx="27">
                  <c:v>31.8</c:v>
                </c:pt>
                <c:pt idx="28">
                  <c:v>28.4</c:v>
                </c:pt>
                <c:pt idx="29">
                  <c:v>26.1</c:v>
                </c:pt>
                <c:pt idx="30">
                  <c:v>23.7</c:v>
                </c:pt>
                <c:pt idx="31">
                  <c:v>22.2</c:v>
                </c:pt>
                <c:pt idx="32">
                  <c:v>20.8</c:v>
                </c:pt>
                <c:pt idx="33">
                  <c:v>9.1</c:v>
                </c:pt>
                <c:pt idx="34">
                  <c:v>4.5999999999999996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5138176"/>
        <c:axId val="95207424"/>
      </c:barChart>
      <c:catAx>
        <c:axId val="95138176"/>
        <c:scaling>
          <c:orientation val="minMax"/>
        </c:scaling>
        <c:delete val="0"/>
        <c:axPos val="b"/>
        <c:majorTickMark val="out"/>
        <c:minorTickMark val="none"/>
        <c:tickLblPos val="nextTo"/>
        <c:crossAx val="95207424"/>
        <c:crosses val="autoZero"/>
        <c:auto val="1"/>
        <c:lblAlgn val="ctr"/>
        <c:lblOffset val="100"/>
        <c:noMultiLvlLbl val="0"/>
      </c:catAx>
      <c:valAx>
        <c:axId val="95207424"/>
        <c:scaling>
          <c:orientation val="minMax"/>
        </c:scaling>
        <c:delete val="0"/>
        <c:axPos val="l"/>
        <c:majorGridlines/>
        <c:numFmt formatCode="#,##0.0" sourceLinked="1"/>
        <c:majorTickMark val="out"/>
        <c:minorTickMark val="none"/>
        <c:tickLblPos val="nextTo"/>
        <c:crossAx val="951381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5</cp:revision>
  <dcterms:created xsi:type="dcterms:W3CDTF">2014-07-29T10:11:00Z</dcterms:created>
  <dcterms:modified xsi:type="dcterms:W3CDTF">2014-07-29T10:36:00Z</dcterms:modified>
</cp:coreProperties>
</file>