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Default="00EB1D12">
      <w:r>
        <w:rPr>
          <w:noProof/>
          <w:lang w:eastAsia="it-IT"/>
        </w:rPr>
        <w:drawing>
          <wp:inline distT="0" distB="0" distL="0" distR="0">
            <wp:extent cx="8886825" cy="5724525"/>
            <wp:effectExtent l="0" t="0" r="9525" b="9525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C27374" w:rsidRPr="00176E8C" w:rsidRDefault="00C27374">
      <w:pPr>
        <w:rPr>
          <w:b/>
        </w:rPr>
      </w:pPr>
      <w:r w:rsidRPr="00176E8C">
        <w:rPr>
          <w:b/>
        </w:rPr>
        <w:t xml:space="preserve">Fonte:  </w:t>
      </w:r>
      <w:r w:rsidR="00176E8C" w:rsidRPr="00176E8C">
        <w:rPr>
          <w:b/>
        </w:rPr>
        <w:t xml:space="preserve">Elaborazioni </w:t>
      </w:r>
      <w:proofErr w:type="spellStart"/>
      <w:r w:rsidR="00176E8C" w:rsidRPr="00176E8C">
        <w:rPr>
          <w:b/>
        </w:rPr>
        <w:t>Isfol</w:t>
      </w:r>
      <w:proofErr w:type="spellEnd"/>
      <w:r w:rsidR="00176E8C" w:rsidRPr="00176E8C">
        <w:rPr>
          <w:b/>
        </w:rPr>
        <w:t>-Osservatorio Europa2020 su dati Istat 2014</w:t>
      </w:r>
    </w:p>
    <w:sectPr w:rsidR="00C27374" w:rsidRPr="00176E8C" w:rsidSect="00EB1D1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12"/>
    <w:rsid w:val="00176E8C"/>
    <w:rsid w:val="002247C8"/>
    <w:rsid w:val="00246D29"/>
    <w:rsid w:val="003F5017"/>
    <w:rsid w:val="00A44FE7"/>
    <w:rsid w:val="00BA2D7F"/>
    <w:rsid w:val="00C27374"/>
    <w:rsid w:val="00C360FA"/>
    <w:rsid w:val="00D44278"/>
    <w:rsid w:val="00D9043C"/>
    <w:rsid w:val="00EA05D3"/>
    <w:rsid w:val="00E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Tasso di disoccupazione 15-29enni - 2013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Valle d'Aosta</c:v>
                </c:pt>
                <c:pt idx="1">
                  <c:v>     Prov. Aut. di Bolzano</c:v>
                </c:pt>
                <c:pt idx="2">
                  <c:v>     Prov. Aut. di Trento</c:v>
                </c:pt>
                <c:pt idx="3">
                  <c:v>Veneto</c:v>
                </c:pt>
                <c:pt idx="4">
                  <c:v>Lombardia</c:v>
                </c:pt>
                <c:pt idx="5">
                  <c:v>Friuli-Venezia Giulia</c:v>
                </c:pt>
                <c:pt idx="6">
                  <c:v>Emilia-Romagna</c:v>
                </c:pt>
                <c:pt idx="7">
                  <c:v>Toscana</c:v>
                </c:pt>
                <c:pt idx="8">
                  <c:v>Umbria</c:v>
                </c:pt>
                <c:pt idx="9">
                  <c:v>Marche</c:v>
                </c:pt>
                <c:pt idx="10">
                  <c:v>ITALIA</c:v>
                </c:pt>
                <c:pt idx="11">
                  <c:v>Abruzzo</c:v>
                </c:pt>
                <c:pt idx="12">
                  <c:v>Piemonte</c:v>
                </c:pt>
                <c:pt idx="13">
                  <c:v>Liguria</c:v>
                </c:pt>
                <c:pt idx="14">
                  <c:v>Lazio</c:v>
                </c:pt>
                <c:pt idx="15">
                  <c:v>Basilicata</c:v>
                </c:pt>
                <c:pt idx="16">
                  <c:v>Puglia</c:v>
                </c:pt>
                <c:pt idx="17">
                  <c:v>Molise</c:v>
                </c:pt>
                <c:pt idx="18">
                  <c:v>Campania</c:v>
                </c:pt>
                <c:pt idx="19">
                  <c:v>Sardegna</c:v>
                </c:pt>
                <c:pt idx="20">
                  <c:v>Calabria</c:v>
                </c:pt>
                <c:pt idx="21">
                  <c:v>Sicilia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6.1</c:v>
                </c:pt>
                <c:pt idx="1">
                  <c:v>9.6999999999999993</c:v>
                </c:pt>
                <c:pt idx="2">
                  <c:v>15.9</c:v>
                </c:pt>
                <c:pt idx="3">
                  <c:v>17.399999999999999</c:v>
                </c:pt>
                <c:pt idx="4">
                  <c:v>20.100000000000001</c:v>
                </c:pt>
                <c:pt idx="5">
                  <c:v>20.5</c:v>
                </c:pt>
                <c:pt idx="6">
                  <c:v>21.8</c:v>
                </c:pt>
                <c:pt idx="7">
                  <c:v>21.9</c:v>
                </c:pt>
                <c:pt idx="8">
                  <c:v>25.1</c:v>
                </c:pt>
                <c:pt idx="9">
                  <c:v>25.2</c:v>
                </c:pt>
                <c:pt idx="10">
                  <c:v>25.2</c:v>
                </c:pt>
                <c:pt idx="11">
                  <c:v>28.2</c:v>
                </c:pt>
                <c:pt idx="12">
                  <c:v>28.3</c:v>
                </c:pt>
                <c:pt idx="13">
                  <c:v>29</c:v>
                </c:pt>
                <c:pt idx="14">
                  <c:v>31.7</c:v>
                </c:pt>
                <c:pt idx="15">
                  <c:v>40</c:v>
                </c:pt>
                <c:pt idx="16">
                  <c:v>41</c:v>
                </c:pt>
                <c:pt idx="17">
                  <c:v>43.8</c:v>
                </c:pt>
                <c:pt idx="18">
                  <c:v>44.3</c:v>
                </c:pt>
                <c:pt idx="19">
                  <c:v>44.4</c:v>
                </c:pt>
                <c:pt idx="20">
                  <c:v>44.8</c:v>
                </c:pt>
                <c:pt idx="21">
                  <c:v>46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3597312"/>
        <c:axId val="73601024"/>
      </c:barChart>
      <c:catAx>
        <c:axId val="73597312"/>
        <c:scaling>
          <c:orientation val="minMax"/>
        </c:scaling>
        <c:delete val="0"/>
        <c:axPos val="b"/>
        <c:majorTickMark val="out"/>
        <c:minorTickMark val="none"/>
        <c:tickLblPos val="nextTo"/>
        <c:crossAx val="73601024"/>
        <c:crosses val="autoZero"/>
        <c:auto val="1"/>
        <c:lblAlgn val="ctr"/>
        <c:lblOffset val="100"/>
        <c:noMultiLvlLbl val="0"/>
      </c:catAx>
      <c:valAx>
        <c:axId val="73601024"/>
        <c:scaling>
          <c:orientation val="minMax"/>
          <c:max val="50"/>
          <c:min val="5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73597312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2014-07-25T08:36:00Z</dcterms:created>
  <dcterms:modified xsi:type="dcterms:W3CDTF">2014-07-25T08:38:00Z</dcterms:modified>
</cp:coreProperties>
</file>