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2F" w:rsidRDefault="00EB1D12">
      <w:r>
        <w:rPr>
          <w:noProof/>
          <w:lang w:eastAsia="it-IT"/>
        </w:rPr>
        <w:drawing>
          <wp:inline distT="0" distB="0" distL="0" distR="0">
            <wp:extent cx="8886825" cy="5724525"/>
            <wp:effectExtent l="0" t="0" r="9525" b="9525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27374" w:rsidRDefault="00C27374">
      <w:pPr>
        <w:rPr>
          <w:b/>
        </w:rPr>
      </w:pPr>
      <w:r w:rsidRPr="0091260F">
        <w:rPr>
          <w:b/>
        </w:rPr>
        <w:t xml:space="preserve">Fonte:  </w:t>
      </w:r>
      <w:r w:rsidR="0091260F" w:rsidRPr="0091260F">
        <w:rPr>
          <w:b/>
        </w:rPr>
        <w:t xml:space="preserve">Elaborazioni </w:t>
      </w:r>
      <w:proofErr w:type="spellStart"/>
      <w:r w:rsidR="0091260F" w:rsidRPr="0091260F">
        <w:rPr>
          <w:b/>
        </w:rPr>
        <w:t>Isfol</w:t>
      </w:r>
      <w:proofErr w:type="spellEnd"/>
      <w:r w:rsidR="0091260F" w:rsidRPr="0091260F">
        <w:rPr>
          <w:b/>
        </w:rPr>
        <w:t>-Osservatorio Europa2020 su dati Istat 2014</w:t>
      </w:r>
    </w:p>
    <w:p w:rsidR="0091260F" w:rsidRDefault="0091260F">
      <w:pPr>
        <w:rPr>
          <w:b/>
        </w:rPr>
      </w:pPr>
      <w:r>
        <w:rPr>
          <w:noProof/>
          <w:lang w:eastAsia="it-IT"/>
        </w:rPr>
        <w:lastRenderedPageBreak/>
        <w:drawing>
          <wp:inline distT="0" distB="0" distL="0" distR="0" wp14:anchorId="2E608D4A" wp14:editId="491915A4">
            <wp:extent cx="8886825" cy="5724525"/>
            <wp:effectExtent l="0" t="0" r="9525" b="9525"/>
            <wp:docPr id="2" name="Gra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1260F" w:rsidRDefault="0091260F" w:rsidP="0091260F">
      <w:pPr>
        <w:rPr>
          <w:b/>
        </w:rPr>
      </w:pPr>
      <w:r w:rsidRPr="0091260F">
        <w:rPr>
          <w:b/>
        </w:rPr>
        <w:t xml:space="preserve">Fonte:  Elaborazioni </w:t>
      </w:r>
      <w:proofErr w:type="spellStart"/>
      <w:r w:rsidRPr="0091260F">
        <w:rPr>
          <w:b/>
        </w:rPr>
        <w:t>Isfol</w:t>
      </w:r>
      <w:proofErr w:type="spellEnd"/>
      <w:r w:rsidRPr="0091260F">
        <w:rPr>
          <w:b/>
        </w:rPr>
        <w:t>-Osservatorio Europa2020 su dati Istat 2014</w:t>
      </w:r>
    </w:p>
    <w:p w:rsidR="0091260F" w:rsidRDefault="0091260F">
      <w:pPr>
        <w:rPr>
          <w:b/>
        </w:rPr>
      </w:pPr>
      <w:r>
        <w:rPr>
          <w:noProof/>
          <w:lang w:eastAsia="it-IT"/>
        </w:rPr>
        <w:lastRenderedPageBreak/>
        <w:drawing>
          <wp:inline distT="0" distB="0" distL="0" distR="0" wp14:anchorId="009241EC" wp14:editId="05F7A932">
            <wp:extent cx="8886825" cy="5724525"/>
            <wp:effectExtent l="0" t="0" r="9525" b="9525"/>
            <wp:docPr id="3" name="Gra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91260F" w:rsidRPr="0091260F" w:rsidRDefault="0091260F">
      <w:pPr>
        <w:rPr>
          <w:b/>
        </w:rPr>
      </w:pPr>
      <w:r w:rsidRPr="0091260F">
        <w:rPr>
          <w:b/>
        </w:rPr>
        <w:t xml:space="preserve">Fonte:  Elaborazioni </w:t>
      </w:r>
      <w:proofErr w:type="spellStart"/>
      <w:r w:rsidRPr="0091260F">
        <w:rPr>
          <w:b/>
        </w:rPr>
        <w:t>Isfol</w:t>
      </w:r>
      <w:proofErr w:type="spellEnd"/>
      <w:r w:rsidRPr="0091260F">
        <w:rPr>
          <w:b/>
        </w:rPr>
        <w:t>-Osservatorio Europa2020 su dati Istat 2014</w:t>
      </w:r>
    </w:p>
    <w:sectPr w:rsidR="0091260F" w:rsidRPr="0091260F" w:rsidSect="00EB1D1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12"/>
    <w:rsid w:val="002247C8"/>
    <w:rsid w:val="00246D29"/>
    <w:rsid w:val="00263886"/>
    <w:rsid w:val="003F5017"/>
    <w:rsid w:val="005B77C0"/>
    <w:rsid w:val="006A17AA"/>
    <w:rsid w:val="0091260F"/>
    <w:rsid w:val="00A00261"/>
    <w:rsid w:val="00A44FE7"/>
    <w:rsid w:val="00B21618"/>
    <w:rsid w:val="00C27374"/>
    <w:rsid w:val="00C360FA"/>
    <w:rsid w:val="00D44278"/>
    <w:rsid w:val="00D9043C"/>
    <w:rsid w:val="00EA05D3"/>
    <w:rsid w:val="00EB1D12"/>
    <w:rsid w:val="00F5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18-24enni Early School Leavers - Totale 2013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8"/>
            <c:invertIfNegative val="0"/>
            <c:bubble3D val="0"/>
          </c:dPt>
          <c:dPt>
            <c:idx val="11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12"/>
            <c:invertIfNegative val="0"/>
            <c:bubble3D val="0"/>
          </c:dPt>
          <c:dPt>
            <c:idx val="15"/>
            <c:invertIfNegative val="0"/>
            <c:bubble3D val="0"/>
          </c:dPt>
          <c:dLbls>
            <c:txPr>
              <a:bodyPr rot="-2700000"/>
              <a:lstStyle/>
              <a:p>
                <a:pPr>
                  <a:defRPr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Foglio1!$A$2:$A$23</c:f>
              <c:strCache>
                <c:ptCount val="22"/>
                <c:pt idx="0">
                  <c:v>Molise</c:v>
                </c:pt>
                <c:pt idx="1">
                  <c:v>Abruzzo</c:v>
                </c:pt>
                <c:pt idx="2">
                  <c:v>     Prov. Aut. di Trento</c:v>
                </c:pt>
                <c:pt idx="3">
                  <c:v>Friuli-Venezia Giulia</c:v>
                </c:pt>
                <c:pt idx="4">
                  <c:v>Basilicata</c:v>
                </c:pt>
                <c:pt idx="5">
                  <c:v>Lazio</c:v>
                </c:pt>
                <c:pt idx="6">
                  <c:v>Veneto</c:v>
                </c:pt>
                <c:pt idx="7">
                  <c:v>Umbria</c:v>
                </c:pt>
                <c:pt idx="8">
                  <c:v>Lombardia</c:v>
                </c:pt>
                <c:pt idx="9">
                  <c:v>Toscana</c:v>
                </c:pt>
                <c:pt idx="10">
                  <c:v>Marche</c:v>
                </c:pt>
                <c:pt idx="11">
                  <c:v>ITALIA</c:v>
                </c:pt>
                <c:pt idx="12">
                  <c:v>Emilia-Romagna</c:v>
                </c:pt>
                <c:pt idx="13">
                  <c:v>Liguria</c:v>
                </c:pt>
                <c:pt idx="14">
                  <c:v>Calabria</c:v>
                </c:pt>
                <c:pt idx="15">
                  <c:v>Piemonte</c:v>
                </c:pt>
                <c:pt idx="16">
                  <c:v>Puglia</c:v>
                </c:pt>
                <c:pt idx="17">
                  <c:v>Valle d'Aosta</c:v>
                </c:pt>
                <c:pt idx="18">
                  <c:v>Campania</c:v>
                </c:pt>
                <c:pt idx="19">
                  <c:v>Sicilia</c:v>
                </c:pt>
                <c:pt idx="20">
                  <c:v>     Prov. Aut. di Bolzano</c:v>
                </c:pt>
                <c:pt idx="21">
                  <c:v>Sardegna</c:v>
                </c:pt>
              </c:strCache>
            </c:strRef>
          </c:cat>
          <c:val>
            <c:numRef>
              <c:f>Foglio1!$B$2:$B$23</c:f>
              <c:numCache>
                <c:formatCode>0.0</c:formatCode>
                <c:ptCount val="22"/>
                <c:pt idx="0">
                  <c:v>10.477607007106265</c:v>
                </c:pt>
                <c:pt idx="1">
                  <c:v>12.359304652326163</c:v>
                </c:pt>
                <c:pt idx="2">
                  <c:v>12.515185055206112</c:v>
                </c:pt>
                <c:pt idx="3">
                  <c:v>13.513253012048192</c:v>
                </c:pt>
                <c:pt idx="4">
                  <c:v>13.982547847637294</c:v>
                </c:pt>
                <c:pt idx="5">
                  <c:v>14.807235087811478</c:v>
                </c:pt>
                <c:pt idx="6">
                  <c:v>14.90594112020406</c:v>
                </c:pt>
                <c:pt idx="7">
                  <c:v>15.148169869251735</c:v>
                </c:pt>
                <c:pt idx="8">
                  <c:v>16.745562889269472</c:v>
                </c:pt>
                <c:pt idx="9">
                  <c:v>16.920030858554551</c:v>
                </c:pt>
                <c:pt idx="10">
                  <c:v>16.961964138997633</c:v>
                </c:pt>
                <c:pt idx="11">
                  <c:v>17</c:v>
                </c:pt>
                <c:pt idx="12">
                  <c:v>17.196520548371534</c:v>
                </c:pt>
                <c:pt idx="13">
                  <c:v>17.523653727119992</c:v>
                </c:pt>
                <c:pt idx="14">
                  <c:v>17.696749482162076</c:v>
                </c:pt>
                <c:pt idx="15">
                  <c:v>17.863082194583857</c:v>
                </c:pt>
                <c:pt idx="16">
                  <c:v>20.162554751181801</c:v>
                </c:pt>
                <c:pt idx="17">
                  <c:v>22.174786539427423</c:v>
                </c:pt>
                <c:pt idx="18">
                  <c:v>22.418746223737159</c:v>
                </c:pt>
                <c:pt idx="19">
                  <c:v>25.167731556384311</c:v>
                </c:pt>
                <c:pt idx="20">
                  <c:v>27.665610304641174</c:v>
                </c:pt>
                <c:pt idx="21">
                  <c:v>27.891305446520327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1966208"/>
        <c:axId val="82141952"/>
      </c:barChart>
      <c:catAx>
        <c:axId val="81966208"/>
        <c:scaling>
          <c:orientation val="minMax"/>
        </c:scaling>
        <c:delete val="0"/>
        <c:axPos val="b"/>
        <c:majorTickMark val="out"/>
        <c:minorTickMark val="none"/>
        <c:tickLblPos val="nextTo"/>
        <c:crossAx val="82141952"/>
        <c:crosses val="autoZero"/>
        <c:auto val="1"/>
        <c:lblAlgn val="ctr"/>
        <c:lblOffset val="100"/>
        <c:noMultiLvlLbl val="0"/>
      </c:catAx>
      <c:valAx>
        <c:axId val="82141952"/>
        <c:scaling>
          <c:orientation val="minMax"/>
          <c:max val="30"/>
          <c:min val="1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81966208"/>
        <c:crosses val="autoZero"/>
        <c:crossBetween val="between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>
                <a:effectLst/>
              </a:rPr>
              <a:t>18-24enni Early School Leavers </a:t>
            </a:r>
            <a:r>
              <a:rPr lang="en-US"/>
              <a:t>- Uomini 2013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8"/>
            <c:invertIfNegative val="0"/>
            <c:bubble3D val="0"/>
          </c:dPt>
          <c:dPt>
            <c:idx val="10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</c:dPt>
          <c:dLbls>
            <c:txPr>
              <a:bodyPr rot="-2700000"/>
              <a:lstStyle/>
              <a:p>
                <a:pPr>
                  <a:defRPr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Foglio1!$A$2:$A$23</c:f>
              <c:strCache>
                <c:ptCount val="22"/>
                <c:pt idx="0">
                  <c:v>Molise</c:v>
                </c:pt>
                <c:pt idx="1">
                  <c:v>Friuli-Venezia Giulia</c:v>
                </c:pt>
                <c:pt idx="2">
                  <c:v>Abruzzo</c:v>
                </c:pt>
                <c:pt idx="3">
                  <c:v>Umbria</c:v>
                </c:pt>
                <c:pt idx="4">
                  <c:v>Veneto</c:v>
                </c:pt>
                <c:pt idx="5">
                  <c:v>Lazio</c:v>
                </c:pt>
                <c:pt idx="6">
                  <c:v>Emilia-Romagna</c:v>
                </c:pt>
                <c:pt idx="7">
                  <c:v>     Prov. Aut. di Trento</c:v>
                </c:pt>
                <c:pt idx="8">
                  <c:v>Basilicata</c:v>
                </c:pt>
                <c:pt idx="9">
                  <c:v>Liguria</c:v>
                </c:pt>
                <c:pt idx="10">
                  <c:v>ITALIA</c:v>
                </c:pt>
                <c:pt idx="11">
                  <c:v>Calabria</c:v>
                </c:pt>
                <c:pt idx="12">
                  <c:v>Toscana</c:v>
                </c:pt>
                <c:pt idx="13">
                  <c:v>Marche</c:v>
                </c:pt>
                <c:pt idx="14">
                  <c:v>Lombardia</c:v>
                </c:pt>
                <c:pt idx="15">
                  <c:v>Piemonte</c:v>
                </c:pt>
                <c:pt idx="16">
                  <c:v>Puglia</c:v>
                </c:pt>
                <c:pt idx="17">
                  <c:v>Campania</c:v>
                </c:pt>
                <c:pt idx="18">
                  <c:v>Valle d'Aosta</c:v>
                </c:pt>
                <c:pt idx="19">
                  <c:v>Sicilia</c:v>
                </c:pt>
                <c:pt idx="20">
                  <c:v>Sardegna</c:v>
                </c:pt>
                <c:pt idx="21">
                  <c:v>     Prov. Aut. di Bolzano</c:v>
                </c:pt>
              </c:strCache>
            </c:strRef>
          </c:cat>
          <c:val>
            <c:numRef>
              <c:f>Foglio1!$B$2:$B$23</c:f>
              <c:numCache>
                <c:formatCode>0.0</c:formatCode>
                <c:ptCount val="22"/>
                <c:pt idx="0">
                  <c:v>11.199613806420468</c:v>
                </c:pt>
                <c:pt idx="1">
                  <c:v>13.651756928828803</c:v>
                </c:pt>
                <c:pt idx="2">
                  <c:v>14.232924551287256</c:v>
                </c:pt>
                <c:pt idx="3">
                  <c:v>14.941283969000644</c:v>
                </c:pt>
                <c:pt idx="4">
                  <c:v>16.457884958519582</c:v>
                </c:pt>
                <c:pt idx="5">
                  <c:v>17.592763238727116</c:v>
                </c:pt>
                <c:pt idx="6">
                  <c:v>17.781072963005208</c:v>
                </c:pt>
                <c:pt idx="7">
                  <c:v>18.517341805665872</c:v>
                </c:pt>
                <c:pt idx="8">
                  <c:v>18.889024439835712</c:v>
                </c:pt>
                <c:pt idx="9">
                  <c:v>18.996625129802698</c:v>
                </c:pt>
                <c:pt idx="10">
                  <c:v>20.2</c:v>
                </c:pt>
                <c:pt idx="11">
                  <c:v>20.210251164905102</c:v>
                </c:pt>
                <c:pt idx="12">
                  <c:v>20.245233032384007</c:v>
                </c:pt>
                <c:pt idx="13">
                  <c:v>20.365530303030301</c:v>
                </c:pt>
                <c:pt idx="14">
                  <c:v>21.063230341558292</c:v>
                </c:pt>
                <c:pt idx="15">
                  <c:v>21.309231743628196</c:v>
                </c:pt>
                <c:pt idx="16">
                  <c:v>23.16357271970849</c:v>
                </c:pt>
                <c:pt idx="17">
                  <c:v>25.275434317213808</c:v>
                </c:pt>
                <c:pt idx="18">
                  <c:v>26.131636897479815</c:v>
                </c:pt>
                <c:pt idx="19">
                  <c:v>29.112977605057445</c:v>
                </c:pt>
                <c:pt idx="20">
                  <c:v>33.017224377095523</c:v>
                </c:pt>
                <c:pt idx="21">
                  <c:v>33.024118738404454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3402112"/>
        <c:axId val="83422208"/>
      </c:barChart>
      <c:catAx>
        <c:axId val="83402112"/>
        <c:scaling>
          <c:orientation val="minMax"/>
        </c:scaling>
        <c:delete val="0"/>
        <c:axPos val="b"/>
        <c:majorTickMark val="out"/>
        <c:minorTickMark val="none"/>
        <c:tickLblPos val="nextTo"/>
        <c:crossAx val="83422208"/>
        <c:crosses val="autoZero"/>
        <c:auto val="1"/>
        <c:lblAlgn val="ctr"/>
        <c:lblOffset val="100"/>
        <c:noMultiLvlLbl val="0"/>
      </c:catAx>
      <c:valAx>
        <c:axId val="83422208"/>
        <c:scaling>
          <c:orientation val="minMax"/>
          <c:max val="35"/>
          <c:min val="1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83402112"/>
        <c:crosses val="autoZero"/>
        <c:crossBetween val="between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>
                <a:effectLst/>
              </a:rPr>
              <a:t>18-24enni Early School Leavers </a:t>
            </a:r>
            <a:r>
              <a:rPr lang="en-US"/>
              <a:t>- Donne 2013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8"/>
            <c:invertIfNegative val="0"/>
            <c:bubble3D val="0"/>
          </c:dPt>
          <c:dPt>
            <c:idx val="10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</c:dPt>
          <c:dLbls>
            <c:txPr>
              <a:bodyPr rot="-2700000"/>
              <a:lstStyle/>
              <a:p>
                <a:pPr>
                  <a:defRPr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Foglio1!$A$2:$A$23</c:f>
              <c:strCache>
                <c:ptCount val="22"/>
                <c:pt idx="0">
                  <c:v>     Prov. Aut. di Trento</c:v>
                </c:pt>
                <c:pt idx="1">
                  <c:v>Basilicata</c:v>
                </c:pt>
                <c:pt idx="2">
                  <c:v>Molise</c:v>
                </c:pt>
                <c:pt idx="3">
                  <c:v>Abruzzo</c:v>
                </c:pt>
                <c:pt idx="4">
                  <c:v>Lazio</c:v>
                </c:pt>
                <c:pt idx="5">
                  <c:v>Lombardia</c:v>
                </c:pt>
                <c:pt idx="6">
                  <c:v>Veneto</c:v>
                </c:pt>
                <c:pt idx="7">
                  <c:v>Friuli-Venezia Giulia</c:v>
                </c:pt>
                <c:pt idx="8">
                  <c:v>Marche</c:v>
                </c:pt>
                <c:pt idx="9">
                  <c:v>Toscana</c:v>
                </c:pt>
                <c:pt idx="10">
                  <c:v>ITALIA</c:v>
                </c:pt>
                <c:pt idx="11">
                  <c:v>Piemonte</c:v>
                </c:pt>
                <c:pt idx="12">
                  <c:v>Calabria</c:v>
                </c:pt>
                <c:pt idx="13">
                  <c:v>Umbria</c:v>
                </c:pt>
                <c:pt idx="14">
                  <c:v>Liguria</c:v>
                </c:pt>
                <c:pt idx="15">
                  <c:v>Emilia-Romagna</c:v>
                </c:pt>
                <c:pt idx="16">
                  <c:v>Puglia</c:v>
                </c:pt>
                <c:pt idx="17">
                  <c:v>Valle d'Aosta</c:v>
                </c:pt>
                <c:pt idx="18">
                  <c:v>Campania</c:v>
                </c:pt>
                <c:pt idx="19">
                  <c:v>Sicilia</c:v>
                </c:pt>
                <c:pt idx="20">
                  <c:v>     Prov. Aut. di Bolzano</c:v>
                </c:pt>
                <c:pt idx="21">
                  <c:v>Sardegna</c:v>
                </c:pt>
              </c:strCache>
            </c:strRef>
          </c:cat>
          <c:val>
            <c:numRef>
              <c:f>Foglio1!$B$2:$B$23</c:f>
              <c:numCache>
                <c:formatCode>0.0</c:formatCode>
                <c:ptCount val="22"/>
                <c:pt idx="0">
                  <c:v>6.2727172596100891</c:v>
                </c:pt>
                <c:pt idx="1">
                  <c:v>8.8320669341757014</c:v>
                </c:pt>
                <c:pt idx="2">
                  <c:v>9.7154989384288744</c:v>
                </c:pt>
                <c:pt idx="3">
                  <c:v>10.383297644539615</c:v>
                </c:pt>
                <c:pt idx="4">
                  <c:v>11.870983060725598</c:v>
                </c:pt>
                <c:pt idx="5">
                  <c:v>12.200589193726238</c:v>
                </c:pt>
                <c:pt idx="6">
                  <c:v>13.291926257994987</c:v>
                </c:pt>
                <c:pt idx="7">
                  <c:v>13.370106960855688</c:v>
                </c:pt>
                <c:pt idx="8">
                  <c:v>13.414273023393545</c:v>
                </c:pt>
                <c:pt idx="9">
                  <c:v>13.435493739783197</c:v>
                </c:pt>
                <c:pt idx="10">
                  <c:v>13.7</c:v>
                </c:pt>
                <c:pt idx="11">
                  <c:v>14.261257285468629</c:v>
                </c:pt>
                <c:pt idx="12">
                  <c:v>15.090047616802602</c:v>
                </c:pt>
                <c:pt idx="13">
                  <c:v>15.363236587510995</c:v>
                </c:pt>
                <c:pt idx="14">
                  <c:v>15.984903272464294</c:v>
                </c:pt>
                <c:pt idx="15">
                  <c:v>16.584227420806549</c:v>
                </c:pt>
                <c:pt idx="16">
                  <c:v>17.006071872623458</c:v>
                </c:pt>
                <c:pt idx="17">
                  <c:v>18.0036110394635</c:v>
                </c:pt>
                <c:pt idx="18">
                  <c:v>19.452190617834788</c:v>
                </c:pt>
                <c:pt idx="19">
                  <c:v>21.054842473745623</c:v>
                </c:pt>
                <c:pt idx="20">
                  <c:v>22.095387021110241</c:v>
                </c:pt>
                <c:pt idx="21">
                  <c:v>22.502332653695962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3810176"/>
        <c:axId val="83813888"/>
      </c:barChart>
      <c:catAx>
        <c:axId val="83810176"/>
        <c:scaling>
          <c:orientation val="minMax"/>
        </c:scaling>
        <c:delete val="0"/>
        <c:axPos val="b"/>
        <c:majorTickMark val="out"/>
        <c:minorTickMark val="none"/>
        <c:tickLblPos val="nextTo"/>
        <c:crossAx val="83813888"/>
        <c:crosses val="autoZero"/>
        <c:auto val="1"/>
        <c:lblAlgn val="ctr"/>
        <c:lblOffset val="100"/>
        <c:noMultiLvlLbl val="0"/>
      </c:catAx>
      <c:valAx>
        <c:axId val="83813888"/>
        <c:scaling>
          <c:orientation val="minMax"/>
          <c:max val="25"/>
          <c:min val="5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83810176"/>
        <c:crosses val="autoZero"/>
        <c:crossBetween val="between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2014-07-25T08:59:00Z</dcterms:created>
  <dcterms:modified xsi:type="dcterms:W3CDTF">2014-07-25T09:04:00Z</dcterms:modified>
</cp:coreProperties>
</file>