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Default="00EB1D12">
      <w:r>
        <w:rPr>
          <w:noProof/>
          <w:lang w:eastAsia="it-IT"/>
        </w:rPr>
        <w:drawing>
          <wp:inline distT="0" distB="0" distL="0" distR="0">
            <wp:extent cx="8886825" cy="5724525"/>
            <wp:effectExtent l="0" t="0" r="9525" b="9525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27374" w:rsidRDefault="00C27374">
      <w:pPr>
        <w:rPr>
          <w:b/>
        </w:rPr>
      </w:pPr>
      <w:r w:rsidRPr="0091260F">
        <w:rPr>
          <w:b/>
        </w:rPr>
        <w:t xml:space="preserve">Fonte:  </w:t>
      </w:r>
      <w:r w:rsidR="0091260F" w:rsidRPr="0091260F">
        <w:rPr>
          <w:b/>
        </w:rPr>
        <w:t xml:space="preserve">Elaborazioni </w:t>
      </w:r>
      <w:proofErr w:type="spellStart"/>
      <w:r w:rsidR="0091260F" w:rsidRPr="0091260F">
        <w:rPr>
          <w:b/>
        </w:rPr>
        <w:t>Isfol</w:t>
      </w:r>
      <w:proofErr w:type="spellEnd"/>
      <w:r w:rsidR="0091260F" w:rsidRPr="0091260F">
        <w:rPr>
          <w:b/>
        </w:rPr>
        <w:t>-Osservatorio Europa2020 su dati Istat 2014</w:t>
      </w:r>
    </w:p>
    <w:p w:rsidR="0091260F" w:rsidRDefault="0091260F">
      <w:pPr>
        <w:rPr>
          <w:b/>
        </w:rPr>
      </w:pPr>
      <w:r>
        <w:rPr>
          <w:noProof/>
          <w:lang w:eastAsia="it-IT"/>
        </w:rPr>
        <w:lastRenderedPageBreak/>
        <w:drawing>
          <wp:inline distT="0" distB="0" distL="0" distR="0" wp14:anchorId="2E608D4A" wp14:editId="491915A4">
            <wp:extent cx="8886825" cy="5724525"/>
            <wp:effectExtent l="0" t="0" r="9525" b="9525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260F" w:rsidRDefault="0091260F" w:rsidP="0091260F">
      <w:pPr>
        <w:rPr>
          <w:b/>
        </w:rPr>
      </w:pPr>
      <w:r w:rsidRPr="0091260F">
        <w:rPr>
          <w:b/>
        </w:rPr>
        <w:t xml:space="preserve">Fonte:  Elaborazioni </w:t>
      </w:r>
      <w:proofErr w:type="spellStart"/>
      <w:r w:rsidRPr="0091260F">
        <w:rPr>
          <w:b/>
        </w:rPr>
        <w:t>Isfol</w:t>
      </w:r>
      <w:proofErr w:type="spellEnd"/>
      <w:r w:rsidRPr="0091260F">
        <w:rPr>
          <w:b/>
        </w:rPr>
        <w:t>-Osservatorio Europa2020 su dati Istat 2014</w:t>
      </w:r>
    </w:p>
    <w:p w:rsidR="0091260F" w:rsidRDefault="0091260F">
      <w:pPr>
        <w:rPr>
          <w:b/>
        </w:rPr>
      </w:pPr>
      <w:r>
        <w:rPr>
          <w:noProof/>
          <w:lang w:eastAsia="it-IT"/>
        </w:rPr>
        <w:lastRenderedPageBreak/>
        <w:drawing>
          <wp:inline distT="0" distB="0" distL="0" distR="0" wp14:anchorId="009241EC" wp14:editId="05F7A932">
            <wp:extent cx="8886825" cy="5724525"/>
            <wp:effectExtent l="0" t="0" r="9525" b="9525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91260F" w:rsidRPr="0091260F" w:rsidRDefault="0091260F">
      <w:pPr>
        <w:rPr>
          <w:b/>
        </w:rPr>
      </w:pPr>
      <w:r w:rsidRPr="0091260F">
        <w:rPr>
          <w:b/>
        </w:rPr>
        <w:t xml:space="preserve">Fonte:  Elaborazioni </w:t>
      </w:r>
      <w:proofErr w:type="spellStart"/>
      <w:r w:rsidRPr="0091260F">
        <w:rPr>
          <w:b/>
        </w:rPr>
        <w:t>Isfol</w:t>
      </w:r>
      <w:proofErr w:type="spellEnd"/>
      <w:r w:rsidRPr="0091260F">
        <w:rPr>
          <w:b/>
        </w:rPr>
        <w:t>-Osservatorio Europa2020 su dati Istat 2014</w:t>
      </w:r>
    </w:p>
    <w:sectPr w:rsidR="0091260F" w:rsidRPr="0091260F" w:rsidSect="00EB1D1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12"/>
    <w:rsid w:val="002247C8"/>
    <w:rsid w:val="00246D29"/>
    <w:rsid w:val="00263886"/>
    <w:rsid w:val="003F5017"/>
    <w:rsid w:val="006A17AA"/>
    <w:rsid w:val="0091260F"/>
    <w:rsid w:val="00A00261"/>
    <w:rsid w:val="00A44FE7"/>
    <w:rsid w:val="00C27374"/>
    <w:rsid w:val="00C360FA"/>
    <w:rsid w:val="00D44278"/>
    <w:rsid w:val="00D9043C"/>
    <w:rsid w:val="00EA05D3"/>
    <w:rsid w:val="00EB1D12"/>
    <w:rsid w:val="00F5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20-24enni con almeno istruzione secondaria superiore - Totale 2013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Pt>
            <c:idx val="15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Molise</c:v>
                </c:pt>
                <c:pt idx="1">
                  <c:v>Abruzzo</c:v>
                </c:pt>
                <c:pt idx="2">
                  <c:v>Lazio</c:v>
                </c:pt>
                <c:pt idx="3">
                  <c:v>Basilicata</c:v>
                </c:pt>
                <c:pt idx="4">
                  <c:v>     Prov. Aut. di Trento</c:v>
                </c:pt>
                <c:pt idx="5">
                  <c:v>Umbria</c:v>
                </c:pt>
                <c:pt idx="6">
                  <c:v>Veneto</c:v>
                </c:pt>
                <c:pt idx="7">
                  <c:v>Marche</c:v>
                </c:pt>
                <c:pt idx="8">
                  <c:v>Emilia-Romagna</c:v>
                </c:pt>
                <c:pt idx="9">
                  <c:v>Friuli-Venezia Giulia</c:v>
                </c:pt>
                <c:pt idx="10">
                  <c:v>Lombardia</c:v>
                </c:pt>
                <c:pt idx="11">
                  <c:v>Liguria</c:v>
                </c:pt>
                <c:pt idx="12">
                  <c:v>Calabria</c:v>
                </c:pt>
                <c:pt idx="13">
                  <c:v>Valle d'Aosta</c:v>
                </c:pt>
                <c:pt idx="14">
                  <c:v>Piemonte</c:v>
                </c:pt>
                <c:pt idx="15">
                  <c:v>ITALIA</c:v>
                </c:pt>
                <c:pt idx="16">
                  <c:v>Puglia</c:v>
                </c:pt>
                <c:pt idx="17">
                  <c:v>Toscana</c:v>
                </c:pt>
                <c:pt idx="18">
                  <c:v>Campania</c:v>
                </c:pt>
                <c:pt idx="19">
                  <c:v>Sicilia</c:v>
                </c:pt>
                <c:pt idx="20">
                  <c:v>     Prov. Aut. di Bolzano</c:v>
                </c:pt>
                <c:pt idx="21">
                  <c:v>Sardegna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87.9</c:v>
                </c:pt>
                <c:pt idx="1">
                  <c:v>87.2</c:v>
                </c:pt>
                <c:pt idx="2">
                  <c:v>86.9</c:v>
                </c:pt>
                <c:pt idx="3">
                  <c:v>85.9</c:v>
                </c:pt>
                <c:pt idx="4">
                  <c:v>84.9</c:v>
                </c:pt>
                <c:pt idx="5">
                  <c:v>84.3</c:v>
                </c:pt>
                <c:pt idx="6">
                  <c:v>82.7</c:v>
                </c:pt>
                <c:pt idx="7">
                  <c:v>81.7</c:v>
                </c:pt>
                <c:pt idx="8">
                  <c:v>81.599999999999994</c:v>
                </c:pt>
                <c:pt idx="9">
                  <c:v>81</c:v>
                </c:pt>
                <c:pt idx="10">
                  <c:v>80.599999999999994</c:v>
                </c:pt>
                <c:pt idx="11">
                  <c:v>80.3</c:v>
                </c:pt>
                <c:pt idx="12">
                  <c:v>79.8</c:v>
                </c:pt>
                <c:pt idx="13">
                  <c:v>79.2</c:v>
                </c:pt>
                <c:pt idx="14">
                  <c:v>77.900000000000006</c:v>
                </c:pt>
                <c:pt idx="15">
                  <c:v>77.900000000000006</c:v>
                </c:pt>
                <c:pt idx="16">
                  <c:v>77.5</c:v>
                </c:pt>
                <c:pt idx="17">
                  <c:v>77</c:v>
                </c:pt>
                <c:pt idx="18">
                  <c:v>75.7</c:v>
                </c:pt>
                <c:pt idx="19">
                  <c:v>71.099999999999994</c:v>
                </c:pt>
                <c:pt idx="20">
                  <c:v>69.400000000000006</c:v>
                </c:pt>
                <c:pt idx="21">
                  <c:v>64.099999999999994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4588160"/>
        <c:axId val="74591616"/>
      </c:barChart>
      <c:catAx>
        <c:axId val="74588160"/>
        <c:scaling>
          <c:orientation val="minMax"/>
        </c:scaling>
        <c:delete val="0"/>
        <c:axPos val="b"/>
        <c:majorTickMark val="out"/>
        <c:minorTickMark val="none"/>
        <c:tickLblPos val="nextTo"/>
        <c:crossAx val="74591616"/>
        <c:crosses val="autoZero"/>
        <c:auto val="1"/>
        <c:lblAlgn val="ctr"/>
        <c:lblOffset val="100"/>
        <c:noMultiLvlLbl val="0"/>
      </c:catAx>
      <c:valAx>
        <c:axId val="74591616"/>
        <c:scaling>
          <c:orientation val="minMax"/>
          <c:max val="90"/>
          <c:min val="6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74588160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>
                <a:effectLst/>
              </a:rPr>
              <a:t>20-24enni con almeno istruzione secondaria superiore </a:t>
            </a:r>
            <a:r>
              <a:rPr lang="en-US"/>
              <a:t> - Uomini 2013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1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2"/>
            <c:invertIfNegative val="0"/>
            <c:bubble3D val="0"/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Molise</c:v>
                </c:pt>
                <c:pt idx="1">
                  <c:v>Umbria</c:v>
                </c:pt>
                <c:pt idx="2">
                  <c:v>Abruzzo</c:v>
                </c:pt>
                <c:pt idx="3">
                  <c:v>Lazio</c:v>
                </c:pt>
                <c:pt idx="4">
                  <c:v>Valle d'Aosta</c:v>
                </c:pt>
                <c:pt idx="5">
                  <c:v>Emilia-Romagna</c:v>
                </c:pt>
                <c:pt idx="6">
                  <c:v>Basilicata</c:v>
                </c:pt>
                <c:pt idx="7">
                  <c:v>Marche</c:v>
                </c:pt>
                <c:pt idx="8">
                  <c:v>Veneto</c:v>
                </c:pt>
                <c:pt idx="9">
                  <c:v>     Prov. Aut. di Trento</c:v>
                </c:pt>
                <c:pt idx="10">
                  <c:v>Friuli-Venezia Giulia</c:v>
                </c:pt>
                <c:pt idx="11">
                  <c:v>ITALIA</c:v>
                </c:pt>
                <c:pt idx="12">
                  <c:v>Liguria</c:v>
                </c:pt>
                <c:pt idx="13">
                  <c:v>Lombardia</c:v>
                </c:pt>
                <c:pt idx="14">
                  <c:v>Calabria</c:v>
                </c:pt>
                <c:pt idx="15">
                  <c:v>Piemonte</c:v>
                </c:pt>
                <c:pt idx="16">
                  <c:v>Puglia</c:v>
                </c:pt>
                <c:pt idx="17">
                  <c:v>Toscana</c:v>
                </c:pt>
                <c:pt idx="18">
                  <c:v>Campania</c:v>
                </c:pt>
                <c:pt idx="19">
                  <c:v>Sicilia</c:v>
                </c:pt>
                <c:pt idx="20">
                  <c:v>     Prov. Aut. di Bolzano</c:v>
                </c:pt>
                <c:pt idx="21">
                  <c:v>Sardegna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86.8</c:v>
                </c:pt>
                <c:pt idx="1">
                  <c:v>84.5</c:v>
                </c:pt>
                <c:pt idx="2">
                  <c:v>83.8</c:v>
                </c:pt>
                <c:pt idx="3">
                  <c:v>83.6</c:v>
                </c:pt>
                <c:pt idx="4">
                  <c:v>83.1</c:v>
                </c:pt>
                <c:pt idx="5">
                  <c:v>80.5</c:v>
                </c:pt>
                <c:pt idx="6">
                  <c:v>80.400000000000006</c:v>
                </c:pt>
                <c:pt idx="7">
                  <c:v>79.7</c:v>
                </c:pt>
                <c:pt idx="8">
                  <c:v>79.5</c:v>
                </c:pt>
                <c:pt idx="9">
                  <c:v>79.3</c:v>
                </c:pt>
                <c:pt idx="10">
                  <c:v>78.3</c:v>
                </c:pt>
                <c:pt idx="11">
                  <c:v>76.3</c:v>
                </c:pt>
                <c:pt idx="12">
                  <c:v>76.2</c:v>
                </c:pt>
                <c:pt idx="13">
                  <c:v>75.8</c:v>
                </c:pt>
                <c:pt idx="14">
                  <c:v>75.7</c:v>
                </c:pt>
                <c:pt idx="15">
                  <c:v>74.2</c:v>
                </c:pt>
                <c:pt idx="16">
                  <c:v>73.599999999999994</c:v>
                </c:pt>
                <c:pt idx="17">
                  <c:v>72.599999999999994</c:v>
                </c:pt>
                <c:pt idx="18">
                  <c:v>72.099999999999994</c:v>
                </c:pt>
                <c:pt idx="19">
                  <c:v>65.599999999999994</c:v>
                </c:pt>
                <c:pt idx="20">
                  <c:v>64.3</c:v>
                </c:pt>
                <c:pt idx="21">
                  <c:v>57.6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4673152"/>
        <c:axId val="74674560"/>
      </c:barChart>
      <c:catAx>
        <c:axId val="74673152"/>
        <c:scaling>
          <c:orientation val="minMax"/>
        </c:scaling>
        <c:delete val="0"/>
        <c:axPos val="b"/>
        <c:majorTickMark val="out"/>
        <c:minorTickMark val="none"/>
        <c:tickLblPos val="nextTo"/>
        <c:crossAx val="74674560"/>
        <c:crosses val="autoZero"/>
        <c:auto val="1"/>
        <c:lblAlgn val="ctr"/>
        <c:lblOffset val="100"/>
        <c:noMultiLvlLbl val="0"/>
      </c:catAx>
      <c:valAx>
        <c:axId val="74674560"/>
        <c:scaling>
          <c:orientation val="minMax"/>
          <c:max val="90"/>
          <c:min val="5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74673152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>
                <a:effectLst/>
              </a:rPr>
              <a:t>20-24enni con almeno istruzione secondaria superiore </a:t>
            </a:r>
            <a:r>
              <a:rPr lang="en-US"/>
              <a:t> - Donne 2013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Basilicata</c:v>
                </c:pt>
                <c:pt idx="1">
                  <c:v>Abruzzo</c:v>
                </c:pt>
                <c:pt idx="2">
                  <c:v>     Prov. Aut. di Trento</c:v>
                </c:pt>
                <c:pt idx="3">
                  <c:v>Lazio</c:v>
                </c:pt>
                <c:pt idx="4">
                  <c:v>Molise</c:v>
                </c:pt>
                <c:pt idx="5">
                  <c:v>Veneto</c:v>
                </c:pt>
                <c:pt idx="6">
                  <c:v>Lombardia</c:v>
                </c:pt>
                <c:pt idx="7">
                  <c:v>Liguria</c:v>
                </c:pt>
                <c:pt idx="8">
                  <c:v>Umbria</c:v>
                </c:pt>
                <c:pt idx="9">
                  <c:v>Calabria</c:v>
                </c:pt>
                <c:pt idx="10">
                  <c:v>Friuli-Venezia Giulia</c:v>
                </c:pt>
                <c:pt idx="11">
                  <c:v>Marche</c:v>
                </c:pt>
                <c:pt idx="12">
                  <c:v>Emilia-Romagna</c:v>
                </c:pt>
                <c:pt idx="13">
                  <c:v>ITALIA</c:v>
                </c:pt>
                <c:pt idx="14">
                  <c:v>Piemonte</c:v>
                </c:pt>
                <c:pt idx="15">
                  <c:v>Puglia</c:v>
                </c:pt>
                <c:pt idx="16">
                  <c:v>Toscana</c:v>
                </c:pt>
                <c:pt idx="17">
                  <c:v>Campania</c:v>
                </c:pt>
                <c:pt idx="18">
                  <c:v>Sicilia</c:v>
                </c:pt>
                <c:pt idx="19">
                  <c:v>Valle d'Aosta</c:v>
                </c:pt>
                <c:pt idx="20">
                  <c:v>     Prov. Aut. di Bolzano</c:v>
                </c:pt>
                <c:pt idx="21">
                  <c:v>Sardegna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91.6</c:v>
                </c:pt>
                <c:pt idx="1">
                  <c:v>90.9</c:v>
                </c:pt>
                <c:pt idx="2">
                  <c:v>90.7</c:v>
                </c:pt>
                <c:pt idx="3">
                  <c:v>90.3</c:v>
                </c:pt>
                <c:pt idx="4">
                  <c:v>89</c:v>
                </c:pt>
                <c:pt idx="5">
                  <c:v>86.1</c:v>
                </c:pt>
                <c:pt idx="6">
                  <c:v>85.6</c:v>
                </c:pt>
                <c:pt idx="7">
                  <c:v>84.5</c:v>
                </c:pt>
                <c:pt idx="8">
                  <c:v>84.1</c:v>
                </c:pt>
                <c:pt idx="9">
                  <c:v>84.1</c:v>
                </c:pt>
                <c:pt idx="10">
                  <c:v>83.9</c:v>
                </c:pt>
                <c:pt idx="11">
                  <c:v>83.7</c:v>
                </c:pt>
                <c:pt idx="12">
                  <c:v>82.7</c:v>
                </c:pt>
                <c:pt idx="13">
                  <c:v>82.3</c:v>
                </c:pt>
                <c:pt idx="14">
                  <c:v>81.7</c:v>
                </c:pt>
                <c:pt idx="15">
                  <c:v>81.599999999999994</c:v>
                </c:pt>
                <c:pt idx="16">
                  <c:v>81.5</c:v>
                </c:pt>
                <c:pt idx="17">
                  <c:v>79.400000000000006</c:v>
                </c:pt>
                <c:pt idx="18">
                  <c:v>76.900000000000006</c:v>
                </c:pt>
                <c:pt idx="19">
                  <c:v>75.599999999999994</c:v>
                </c:pt>
                <c:pt idx="20">
                  <c:v>74.7</c:v>
                </c:pt>
                <c:pt idx="21">
                  <c:v>71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4701824"/>
        <c:axId val="74709248"/>
      </c:barChart>
      <c:catAx>
        <c:axId val="74701824"/>
        <c:scaling>
          <c:orientation val="minMax"/>
        </c:scaling>
        <c:delete val="0"/>
        <c:axPos val="b"/>
        <c:majorTickMark val="out"/>
        <c:minorTickMark val="none"/>
        <c:tickLblPos val="nextTo"/>
        <c:crossAx val="74709248"/>
        <c:crosses val="autoZero"/>
        <c:auto val="1"/>
        <c:lblAlgn val="ctr"/>
        <c:lblOffset val="100"/>
        <c:noMultiLvlLbl val="0"/>
      </c:catAx>
      <c:valAx>
        <c:axId val="74709248"/>
        <c:scaling>
          <c:orientation val="minMax"/>
          <c:max val="95"/>
          <c:min val="7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74701824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2014-07-25T08:46:00Z</dcterms:created>
  <dcterms:modified xsi:type="dcterms:W3CDTF">2014-07-25T08:50:00Z</dcterms:modified>
</cp:coreProperties>
</file>