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C27374" w:rsidRDefault="00C27374">
      <w:pPr>
        <w:rPr>
          <w:b/>
        </w:rPr>
      </w:pPr>
      <w:r w:rsidRPr="0091260F">
        <w:rPr>
          <w:b/>
        </w:rPr>
        <w:t xml:space="preserve">Fonte:  </w:t>
      </w:r>
      <w:r w:rsidR="0091260F" w:rsidRPr="0091260F">
        <w:rPr>
          <w:b/>
        </w:rPr>
        <w:t xml:space="preserve">Elaborazioni </w:t>
      </w:r>
      <w:proofErr w:type="spellStart"/>
      <w:r w:rsidR="0091260F" w:rsidRPr="0091260F">
        <w:rPr>
          <w:b/>
        </w:rPr>
        <w:t>Isfol</w:t>
      </w:r>
      <w:proofErr w:type="spellEnd"/>
      <w:r w:rsidR="0091260F"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2E608D4A" wp14:editId="491915A4">
            <wp:extent cx="8886825" cy="5724525"/>
            <wp:effectExtent l="0" t="0" r="9525" b="9525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260F" w:rsidRDefault="0091260F" w:rsidP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009241EC" wp14:editId="05F7A932">
            <wp:extent cx="8886825" cy="5724525"/>
            <wp:effectExtent l="0" t="0" r="9525" b="952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260F" w:rsidRDefault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p w:rsidR="007E5B21" w:rsidRDefault="007E5B21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7C9E9F63" wp14:editId="6C5583E3">
            <wp:extent cx="8886825" cy="5724525"/>
            <wp:effectExtent l="0" t="0" r="9525" b="9525"/>
            <wp:docPr id="4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5B21" w:rsidRPr="0091260F" w:rsidRDefault="007E5B21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sectPr w:rsidR="007E5B21" w:rsidRPr="0091260F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2247C8"/>
    <w:rsid w:val="00246D29"/>
    <w:rsid w:val="00263886"/>
    <w:rsid w:val="00296229"/>
    <w:rsid w:val="003F5017"/>
    <w:rsid w:val="005B77C0"/>
    <w:rsid w:val="006A17AA"/>
    <w:rsid w:val="007D7431"/>
    <w:rsid w:val="007E5B21"/>
    <w:rsid w:val="0091260F"/>
    <w:rsid w:val="00A00261"/>
    <w:rsid w:val="00A44FE7"/>
    <w:rsid w:val="00B21618"/>
    <w:rsid w:val="00BE37F3"/>
    <w:rsid w:val="00C27374"/>
    <w:rsid w:val="00C360FA"/>
    <w:rsid w:val="00D44278"/>
    <w:rsid w:val="00D9043C"/>
    <w:rsid w:val="00EA05D3"/>
    <w:rsid w:val="00EB0FCD"/>
    <w:rsid w:val="00EB1D12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25-64enni per grado di istruzione -</a:t>
            </a:r>
          </a:p>
          <a:p>
            <a:pPr>
              <a:defRPr/>
            </a:pPr>
            <a:r>
              <a:rPr lang="en-US"/>
              <a:t>Nessun</a:t>
            </a:r>
            <a:r>
              <a:rPr lang="en-US" baseline="0"/>
              <a:t> titolo/Lic.Elementare - 2013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5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     Prov. Aut. di Trento</c:v>
                </c:pt>
                <c:pt idx="1">
                  <c:v>Lazio</c:v>
                </c:pt>
                <c:pt idx="2">
                  <c:v>Umbria</c:v>
                </c:pt>
                <c:pt idx="3">
                  <c:v>Liguria</c:v>
                </c:pt>
                <c:pt idx="4">
                  <c:v>Friuli-Venezia Giulia</c:v>
                </c:pt>
                <c:pt idx="5">
                  <c:v>Emilia-Romagna</c:v>
                </c:pt>
                <c:pt idx="6">
                  <c:v>Veneto</c:v>
                </c:pt>
                <c:pt idx="7">
                  <c:v>Piemonte</c:v>
                </c:pt>
                <c:pt idx="8">
                  <c:v>Lombardia</c:v>
                </c:pt>
                <c:pt idx="9">
                  <c:v>     Prov. Aut. di Bolzano</c:v>
                </c:pt>
                <c:pt idx="10">
                  <c:v>Marche</c:v>
                </c:pt>
                <c:pt idx="11">
                  <c:v>Abruzzo</c:v>
                </c:pt>
                <c:pt idx="12">
                  <c:v>Valle d'Aosta</c:v>
                </c:pt>
                <c:pt idx="13">
                  <c:v>ITALIA</c:v>
                </c:pt>
                <c:pt idx="14">
                  <c:v>Molise</c:v>
                </c:pt>
                <c:pt idx="15">
                  <c:v>Toscana</c:v>
                </c:pt>
                <c:pt idx="16">
                  <c:v>Sardegna</c:v>
                </c:pt>
                <c:pt idx="17">
                  <c:v>Basilicata</c:v>
                </c:pt>
                <c:pt idx="18">
                  <c:v>Campania</c:v>
                </c:pt>
                <c:pt idx="19">
                  <c:v>Calabria</c:v>
                </c:pt>
                <c:pt idx="20">
                  <c:v>Sicilia</c:v>
                </c:pt>
                <c:pt idx="21">
                  <c:v>Puglia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5.7</c:v>
                </c:pt>
                <c:pt idx="1">
                  <c:v>6.5</c:v>
                </c:pt>
                <c:pt idx="2">
                  <c:v>6.7</c:v>
                </c:pt>
                <c:pt idx="3">
                  <c:v>6.8</c:v>
                </c:pt>
                <c:pt idx="4">
                  <c:v>6.9</c:v>
                </c:pt>
                <c:pt idx="5">
                  <c:v>7.3</c:v>
                </c:pt>
                <c:pt idx="6">
                  <c:v>7.5</c:v>
                </c:pt>
                <c:pt idx="7">
                  <c:v>7.7</c:v>
                </c:pt>
                <c:pt idx="8">
                  <c:v>7.9</c:v>
                </c:pt>
                <c:pt idx="9">
                  <c:v>8.1</c:v>
                </c:pt>
                <c:pt idx="10">
                  <c:v>8.1</c:v>
                </c:pt>
                <c:pt idx="11">
                  <c:v>8.1</c:v>
                </c:pt>
                <c:pt idx="12">
                  <c:v>8.6</c:v>
                </c:pt>
                <c:pt idx="13">
                  <c:v>9.4</c:v>
                </c:pt>
                <c:pt idx="14">
                  <c:v>9.6999999999999993</c:v>
                </c:pt>
                <c:pt idx="15">
                  <c:v>10.3</c:v>
                </c:pt>
                <c:pt idx="16">
                  <c:v>11.3</c:v>
                </c:pt>
                <c:pt idx="17">
                  <c:v>12</c:v>
                </c:pt>
                <c:pt idx="18">
                  <c:v>14.6</c:v>
                </c:pt>
                <c:pt idx="19">
                  <c:v>14.6</c:v>
                </c:pt>
                <c:pt idx="20">
                  <c:v>14.8</c:v>
                </c:pt>
                <c:pt idx="21">
                  <c:v>16.3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0761856"/>
        <c:axId val="110786048"/>
      </c:barChart>
      <c:catAx>
        <c:axId val="11076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10786048"/>
        <c:crosses val="autoZero"/>
        <c:auto val="1"/>
        <c:lblAlgn val="ctr"/>
        <c:lblOffset val="100"/>
        <c:noMultiLvlLbl val="0"/>
      </c:catAx>
      <c:valAx>
        <c:axId val="110786048"/>
        <c:scaling>
          <c:orientation val="minMax"/>
          <c:max val="18"/>
          <c:min val="5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0761856"/>
        <c:crosses val="autoZero"/>
        <c:crossBetween val="between"/>
        <c:majorUnit val="2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baseline="0">
                <a:effectLst/>
              </a:rPr>
              <a:t>25-64enni per grado di istruzione -</a:t>
            </a:r>
            <a:endParaRPr lang="it-IT">
              <a:effectLst/>
            </a:endParaRPr>
          </a:p>
          <a:p>
            <a:pPr>
              <a:defRPr/>
            </a:pPr>
            <a:r>
              <a:rPr lang="en-US" sz="1800" b="1" i="0" baseline="0">
                <a:effectLst/>
              </a:rPr>
              <a:t>Licenza Media Inferiore - 2013</a:t>
            </a:r>
            <a:endParaRPr lang="it-IT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Umbria</c:v>
                </c:pt>
                <c:pt idx="1">
                  <c:v>Lazio</c:v>
                </c:pt>
                <c:pt idx="2">
                  <c:v>Abruzzo</c:v>
                </c:pt>
                <c:pt idx="3">
                  <c:v>     Prov. Aut. di Trento</c:v>
                </c:pt>
                <c:pt idx="4">
                  <c:v>Liguria</c:v>
                </c:pt>
                <c:pt idx="5">
                  <c:v>Emilia-Romagna</c:v>
                </c:pt>
                <c:pt idx="6">
                  <c:v>Friuli-Venezia Giulia</c:v>
                </c:pt>
                <c:pt idx="7">
                  <c:v>Marche</c:v>
                </c:pt>
                <c:pt idx="8">
                  <c:v>Calabria</c:v>
                </c:pt>
                <c:pt idx="9">
                  <c:v>Lombardia</c:v>
                </c:pt>
                <c:pt idx="10">
                  <c:v>Basilicata</c:v>
                </c:pt>
                <c:pt idx="11">
                  <c:v>Toscana</c:v>
                </c:pt>
                <c:pt idx="12">
                  <c:v>ITALIA</c:v>
                </c:pt>
                <c:pt idx="13">
                  <c:v>Veneto</c:v>
                </c:pt>
                <c:pt idx="14">
                  <c:v>Molise</c:v>
                </c:pt>
                <c:pt idx="15">
                  <c:v>Piemonte</c:v>
                </c:pt>
                <c:pt idx="16">
                  <c:v>Campania</c:v>
                </c:pt>
                <c:pt idx="17">
                  <c:v>     Prov. Aut. di Bolzano</c:v>
                </c:pt>
                <c:pt idx="18">
                  <c:v>Sicilia</c:v>
                </c:pt>
                <c:pt idx="19">
                  <c:v>Valle d'Aosta</c:v>
                </c:pt>
                <c:pt idx="20">
                  <c:v>Puglia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26.4</c:v>
                </c:pt>
                <c:pt idx="1">
                  <c:v>26.6</c:v>
                </c:pt>
                <c:pt idx="2">
                  <c:v>27.8</c:v>
                </c:pt>
                <c:pt idx="3">
                  <c:v>28.8</c:v>
                </c:pt>
                <c:pt idx="4">
                  <c:v>30.4</c:v>
                </c:pt>
                <c:pt idx="5">
                  <c:v>30.8</c:v>
                </c:pt>
                <c:pt idx="6">
                  <c:v>30.9</c:v>
                </c:pt>
                <c:pt idx="7">
                  <c:v>32.299999999999997</c:v>
                </c:pt>
                <c:pt idx="8">
                  <c:v>32.299999999999997</c:v>
                </c:pt>
                <c:pt idx="9">
                  <c:v>32.5</c:v>
                </c:pt>
                <c:pt idx="10">
                  <c:v>32.700000000000003</c:v>
                </c:pt>
                <c:pt idx="11">
                  <c:v>33.700000000000003</c:v>
                </c:pt>
                <c:pt idx="12">
                  <c:v>33.700000000000003</c:v>
                </c:pt>
                <c:pt idx="13">
                  <c:v>34.4</c:v>
                </c:pt>
                <c:pt idx="14">
                  <c:v>34.5</c:v>
                </c:pt>
                <c:pt idx="15">
                  <c:v>34.799999999999997</c:v>
                </c:pt>
                <c:pt idx="16">
                  <c:v>35.9</c:v>
                </c:pt>
                <c:pt idx="17">
                  <c:v>36</c:v>
                </c:pt>
                <c:pt idx="18">
                  <c:v>37.4</c:v>
                </c:pt>
                <c:pt idx="19">
                  <c:v>37.6</c:v>
                </c:pt>
                <c:pt idx="20">
                  <c:v>37.6</c:v>
                </c:pt>
                <c:pt idx="21">
                  <c:v>42.1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1673728"/>
        <c:axId val="111677440"/>
      </c:barChart>
      <c:catAx>
        <c:axId val="111673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11677440"/>
        <c:crosses val="autoZero"/>
        <c:auto val="1"/>
        <c:lblAlgn val="ctr"/>
        <c:lblOffset val="100"/>
        <c:noMultiLvlLbl val="0"/>
      </c:catAx>
      <c:valAx>
        <c:axId val="111677440"/>
        <c:scaling>
          <c:orientation val="minMax"/>
          <c:max val="45"/>
          <c:min val="25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1673728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baseline="0">
                <a:effectLst/>
              </a:rPr>
              <a:t>25-64enni per grado di istruzione -</a:t>
            </a:r>
            <a:endParaRPr lang="it-IT">
              <a:effectLst/>
            </a:endParaRPr>
          </a:p>
          <a:p>
            <a:pPr>
              <a:defRPr/>
            </a:pPr>
            <a:r>
              <a:rPr lang="en-US" sz="1800" b="1" i="0" baseline="0">
                <a:effectLst/>
              </a:rPr>
              <a:t>Istruzione Secondaria Superiore- 2013</a:t>
            </a:r>
            <a:endParaRPr lang="it-IT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     Prov. Aut. di Trento</c:v>
                </c:pt>
                <c:pt idx="1">
                  <c:v>Umbria</c:v>
                </c:pt>
                <c:pt idx="2">
                  <c:v>Lazio</c:v>
                </c:pt>
                <c:pt idx="3">
                  <c:v>Abruzzo</c:v>
                </c:pt>
                <c:pt idx="4">
                  <c:v>Friuli-Venezia Giulia</c:v>
                </c:pt>
                <c:pt idx="5">
                  <c:v>Veneto</c:v>
                </c:pt>
                <c:pt idx="6">
                  <c:v>Liguria</c:v>
                </c:pt>
                <c:pt idx="7">
                  <c:v>Emilia-Romagna</c:v>
                </c:pt>
                <c:pt idx="8">
                  <c:v>Lombardia</c:v>
                </c:pt>
                <c:pt idx="9">
                  <c:v>Marche</c:v>
                </c:pt>
                <c:pt idx="10">
                  <c:v>Piemonte</c:v>
                </c:pt>
                <c:pt idx="11">
                  <c:v>     Prov. Aut. di Bolzano</c:v>
                </c:pt>
                <c:pt idx="12">
                  <c:v>Basilicata</c:v>
                </c:pt>
                <c:pt idx="13">
                  <c:v>ITALIA</c:v>
                </c:pt>
                <c:pt idx="14">
                  <c:v>Molise</c:v>
                </c:pt>
                <c:pt idx="15">
                  <c:v>Toscana</c:v>
                </c:pt>
                <c:pt idx="16">
                  <c:v>Valle d'Aosta</c:v>
                </c:pt>
                <c:pt idx="17">
                  <c:v>Calabria</c:v>
                </c:pt>
                <c:pt idx="18">
                  <c:v>Campania</c:v>
                </c:pt>
                <c:pt idx="19">
                  <c:v>Sicilia</c:v>
                </c:pt>
                <c:pt idx="20">
                  <c:v>Puglia</c:v>
                </c:pt>
                <c:pt idx="21">
                  <c:v>Sardegna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49</c:v>
                </c:pt>
                <c:pt idx="1">
                  <c:v>48.8</c:v>
                </c:pt>
                <c:pt idx="2">
                  <c:v>47.3</c:v>
                </c:pt>
                <c:pt idx="3">
                  <c:v>47.3</c:v>
                </c:pt>
                <c:pt idx="4">
                  <c:v>45.4</c:v>
                </c:pt>
                <c:pt idx="5">
                  <c:v>44.6</c:v>
                </c:pt>
                <c:pt idx="6">
                  <c:v>44.5</c:v>
                </c:pt>
                <c:pt idx="7">
                  <c:v>44.5</c:v>
                </c:pt>
                <c:pt idx="8">
                  <c:v>43.5</c:v>
                </c:pt>
                <c:pt idx="9">
                  <c:v>43.4</c:v>
                </c:pt>
                <c:pt idx="10">
                  <c:v>42.7</c:v>
                </c:pt>
                <c:pt idx="11">
                  <c:v>42.6</c:v>
                </c:pt>
                <c:pt idx="12">
                  <c:v>41.8</c:v>
                </c:pt>
                <c:pt idx="13">
                  <c:v>41.5</c:v>
                </c:pt>
                <c:pt idx="14">
                  <c:v>39.799999999999997</c:v>
                </c:pt>
                <c:pt idx="15">
                  <c:v>39.700000000000003</c:v>
                </c:pt>
                <c:pt idx="16">
                  <c:v>39.5</c:v>
                </c:pt>
                <c:pt idx="17">
                  <c:v>39.1</c:v>
                </c:pt>
                <c:pt idx="18">
                  <c:v>36</c:v>
                </c:pt>
                <c:pt idx="19">
                  <c:v>35.299999999999997</c:v>
                </c:pt>
                <c:pt idx="20">
                  <c:v>33.9</c:v>
                </c:pt>
                <c:pt idx="21">
                  <c:v>32.799999999999997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1766144"/>
        <c:axId val="111778048"/>
      </c:barChart>
      <c:catAx>
        <c:axId val="111766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11778048"/>
        <c:crosses val="autoZero"/>
        <c:auto val="1"/>
        <c:lblAlgn val="ctr"/>
        <c:lblOffset val="100"/>
        <c:noMultiLvlLbl val="0"/>
      </c:catAx>
      <c:valAx>
        <c:axId val="111778048"/>
        <c:scaling>
          <c:orientation val="minMax"/>
          <c:max val="50"/>
          <c:min val="3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1766144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baseline="0">
                <a:effectLst/>
              </a:rPr>
              <a:t>25-64enni per grado di istruzione -</a:t>
            </a:r>
            <a:endParaRPr lang="it-IT">
              <a:effectLst/>
            </a:endParaRPr>
          </a:p>
          <a:p>
            <a:pPr>
              <a:defRPr/>
            </a:pPr>
            <a:r>
              <a:rPr lang="en-US" sz="1800" b="1" i="0" baseline="0">
                <a:effectLst/>
              </a:rPr>
              <a:t>Laurea e Post Laurea - 2013</a:t>
            </a:r>
            <a:endParaRPr lang="it-IT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Lazio</c:v>
                </c:pt>
                <c:pt idx="1">
                  <c:v>Liguria</c:v>
                </c:pt>
                <c:pt idx="2">
                  <c:v>Umbria</c:v>
                </c:pt>
                <c:pt idx="3">
                  <c:v>Emilia-Romagna</c:v>
                </c:pt>
                <c:pt idx="4">
                  <c:v>Friuli-Venezia Giulia</c:v>
                </c:pt>
                <c:pt idx="5">
                  <c:v>Abruzzo</c:v>
                </c:pt>
                <c:pt idx="6">
                  <c:v>     Prov. Aut. di Trento</c:v>
                </c:pt>
                <c:pt idx="7">
                  <c:v>Toscana</c:v>
                </c:pt>
                <c:pt idx="8">
                  <c:v>Marche</c:v>
                </c:pt>
                <c:pt idx="9">
                  <c:v>Lombardia</c:v>
                </c:pt>
                <c:pt idx="10">
                  <c:v>Molise</c:v>
                </c:pt>
                <c:pt idx="11">
                  <c:v>ITALIA</c:v>
                </c:pt>
                <c:pt idx="12">
                  <c:v>Piemonte</c:v>
                </c:pt>
                <c:pt idx="13">
                  <c:v>Valle d'Aosta</c:v>
                </c:pt>
                <c:pt idx="14">
                  <c:v>Calabria</c:v>
                </c:pt>
                <c:pt idx="15">
                  <c:v>Sardegna</c:v>
                </c:pt>
                <c:pt idx="16">
                  <c:v>Veneto</c:v>
                </c:pt>
                <c:pt idx="17">
                  <c:v>Campania</c:v>
                </c:pt>
                <c:pt idx="18">
                  <c:v>Basilicata</c:v>
                </c:pt>
                <c:pt idx="19">
                  <c:v>     Prov. Aut. di Bolzano</c:v>
                </c:pt>
                <c:pt idx="20">
                  <c:v>Sicilia</c:v>
                </c:pt>
                <c:pt idx="21">
                  <c:v>Puglia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19.600000000000001</c:v>
                </c:pt>
                <c:pt idx="1">
                  <c:v>18.3</c:v>
                </c:pt>
                <c:pt idx="2">
                  <c:v>18.100000000000001</c:v>
                </c:pt>
                <c:pt idx="3">
                  <c:v>17.399999999999999</c:v>
                </c:pt>
                <c:pt idx="4">
                  <c:v>16.8</c:v>
                </c:pt>
                <c:pt idx="5">
                  <c:v>16.8</c:v>
                </c:pt>
                <c:pt idx="6">
                  <c:v>16.5</c:v>
                </c:pt>
                <c:pt idx="7">
                  <c:v>16.3</c:v>
                </c:pt>
                <c:pt idx="8">
                  <c:v>16.2</c:v>
                </c:pt>
                <c:pt idx="9">
                  <c:v>16.100000000000001</c:v>
                </c:pt>
                <c:pt idx="10">
                  <c:v>16</c:v>
                </c:pt>
                <c:pt idx="11">
                  <c:v>15.4</c:v>
                </c:pt>
                <c:pt idx="12">
                  <c:v>14.8</c:v>
                </c:pt>
                <c:pt idx="13">
                  <c:v>14.3</c:v>
                </c:pt>
                <c:pt idx="14">
                  <c:v>14</c:v>
                </c:pt>
                <c:pt idx="15">
                  <c:v>13.8</c:v>
                </c:pt>
                <c:pt idx="16">
                  <c:v>13.5</c:v>
                </c:pt>
                <c:pt idx="17">
                  <c:v>13.5</c:v>
                </c:pt>
                <c:pt idx="18">
                  <c:v>13.5</c:v>
                </c:pt>
                <c:pt idx="19">
                  <c:v>13.3</c:v>
                </c:pt>
                <c:pt idx="20">
                  <c:v>12.5</c:v>
                </c:pt>
                <c:pt idx="21">
                  <c:v>12.2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371008"/>
        <c:axId val="133378816"/>
      </c:barChart>
      <c:catAx>
        <c:axId val="133371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33378816"/>
        <c:crosses val="autoZero"/>
        <c:auto val="1"/>
        <c:lblAlgn val="ctr"/>
        <c:lblOffset val="100"/>
        <c:noMultiLvlLbl val="0"/>
      </c:catAx>
      <c:valAx>
        <c:axId val="133378816"/>
        <c:scaling>
          <c:orientation val="minMax"/>
          <c:max val="20"/>
          <c:min val="1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33371008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6</cp:revision>
  <dcterms:created xsi:type="dcterms:W3CDTF">2014-07-25T09:57:00Z</dcterms:created>
  <dcterms:modified xsi:type="dcterms:W3CDTF">2014-07-25T10:06:00Z</dcterms:modified>
</cp:coreProperties>
</file>