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C27374" w:rsidRDefault="00C27374">
      <w:pPr>
        <w:rPr>
          <w:b/>
        </w:rPr>
      </w:pPr>
      <w:r w:rsidRPr="0091260F">
        <w:rPr>
          <w:b/>
        </w:rPr>
        <w:t xml:space="preserve">Fonte:  </w:t>
      </w:r>
      <w:r w:rsidR="0091260F" w:rsidRPr="0091260F">
        <w:rPr>
          <w:b/>
        </w:rPr>
        <w:t xml:space="preserve">Elaborazioni </w:t>
      </w:r>
      <w:proofErr w:type="spellStart"/>
      <w:r w:rsidR="0091260F" w:rsidRPr="0091260F">
        <w:rPr>
          <w:b/>
        </w:rPr>
        <w:t>Isfol</w:t>
      </w:r>
      <w:proofErr w:type="spellEnd"/>
      <w:r w:rsidR="0091260F"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2E608D4A" wp14:editId="491915A4">
            <wp:extent cx="8886825" cy="5724525"/>
            <wp:effectExtent l="0" t="0" r="9525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260F" w:rsidRDefault="0091260F" w:rsidP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009241EC" wp14:editId="05F7A932">
            <wp:extent cx="8886825" cy="5724525"/>
            <wp:effectExtent l="0" t="0" r="9525" b="952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260F" w:rsidRPr="0091260F" w:rsidRDefault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sectPr w:rsidR="0091260F" w:rsidRPr="0091260F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247C8"/>
    <w:rsid w:val="00246D29"/>
    <w:rsid w:val="00263886"/>
    <w:rsid w:val="003F5017"/>
    <w:rsid w:val="006A17AA"/>
    <w:rsid w:val="0091260F"/>
    <w:rsid w:val="00951723"/>
    <w:rsid w:val="00A00261"/>
    <w:rsid w:val="00A44FE7"/>
    <w:rsid w:val="00C27374"/>
    <w:rsid w:val="00C360FA"/>
    <w:rsid w:val="00CE60F9"/>
    <w:rsid w:val="00D44278"/>
    <w:rsid w:val="00D9043C"/>
    <w:rsid w:val="00EA05D3"/>
    <w:rsid w:val="00EB1D12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30-34enni con istruzione terziaria- Totale 2013</a:t>
            </a:r>
          </a:p>
        </c:rich>
      </c:tx>
      <c:layout>
        <c:manualLayout>
          <c:xMode val="edge"/>
          <c:yMode val="edge"/>
          <c:x val="0.24939615667012685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5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Emilia-Romagna</c:v>
                </c:pt>
                <c:pt idx="1">
                  <c:v>Liguria</c:v>
                </c:pt>
                <c:pt idx="2">
                  <c:v>     Prov. Aut. di Trento</c:v>
                </c:pt>
                <c:pt idx="3">
                  <c:v>Lazio</c:v>
                </c:pt>
                <c:pt idx="4">
                  <c:v>Umbria</c:v>
                </c:pt>
                <c:pt idx="5">
                  <c:v>Molise</c:v>
                </c:pt>
                <c:pt idx="6">
                  <c:v>Lombardia</c:v>
                </c:pt>
                <c:pt idx="7">
                  <c:v>Toscana</c:v>
                </c:pt>
                <c:pt idx="8">
                  <c:v>Abruzzo</c:v>
                </c:pt>
                <c:pt idx="9">
                  <c:v>Friuli-Venezia Giulia</c:v>
                </c:pt>
                <c:pt idx="10">
                  <c:v>Piemonte</c:v>
                </c:pt>
                <c:pt idx="11">
                  <c:v>Marche</c:v>
                </c:pt>
                <c:pt idx="12">
                  <c:v>ITALIA</c:v>
                </c:pt>
                <c:pt idx="13">
                  <c:v>     Prov. Aut. di Bolzano</c:v>
                </c:pt>
                <c:pt idx="14">
                  <c:v>Veneto</c:v>
                </c:pt>
                <c:pt idx="15">
                  <c:v>Basilicata</c:v>
                </c:pt>
                <c:pt idx="16">
                  <c:v>Valle d'Aosta</c:v>
                </c:pt>
                <c:pt idx="17">
                  <c:v>Calabria</c:v>
                </c:pt>
                <c:pt idx="18">
                  <c:v>Puglia</c:v>
                </c:pt>
                <c:pt idx="19">
                  <c:v>Campania</c:v>
                </c:pt>
                <c:pt idx="20">
                  <c:v>Sicilia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29.5</c:v>
                </c:pt>
                <c:pt idx="1">
                  <c:v>27.4</c:v>
                </c:pt>
                <c:pt idx="2">
                  <c:v>26.9</c:v>
                </c:pt>
                <c:pt idx="3">
                  <c:v>26.2</c:v>
                </c:pt>
                <c:pt idx="4">
                  <c:v>25.9</c:v>
                </c:pt>
                <c:pt idx="5">
                  <c:v>23.9</c:v>
                </c:pt>
                <c:pt idx="6">
                  <c:v>23.7</c:v>
                </c:pt>
                <c:pt idx="7">
                  <c:v>23</c:v>
                </c:pt>
                <c:pt idx="8">
                  <c:v>22.6</c:v>
                </c:pt>
                <c:pt idx="9">
                  <c:v>22.5</c:v>
                </c:pt>
                <c:pt idx="10">
                  <c:v>22.4</c:v>
                </c:pt>
                <c:pt idx="11">
                  <c:v>22.3</c:v>
                </c:pt>
                <c:pt idx="12">
                  <c:v>22.3</c:v>
                </c:pt>
                <c:pt idx="13">
                  <c:v>22.2</c:v>
                </c:pt>
                <c:pt idx="14">
                  <c:v>21.7</c:v>
                </c:pt>
                <c:pt idx="15">
                  <c:v>21.2</c:v>
                </c:pt>
                <c:pt idx="16">
                  <c:v>19.2</c:v>
                </c:pt>
                <c:pt idx="17">
                  <c:v>18.8</c:v>
                </c:pt>
                <c:pt idx="18">
                  <c:v>18.399999999999999</c:v>
                </c:pt>
                <c:pt idx="19">
                  <c:v>16.8</c:v>
                </c:pt>
                <c:pt idx="20">
                  <c:v>16.5</c:v>
                </c:pt>
                <c:pt idx="21">
                  <c:v>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3556352"/>
        <c:axId val="73707520"/>
      </c:barChart>
      <c:catAx>
        <c:axId val="73556352"/>
        <c:scaling>
          <c:orientation val="minMax"/>
        </c:scaling>
        <c:delete val="0"/>
        <c:axPos val="b"/>
        <c:majorTickMark val="out"/>
        <c:minorTickMark val="none"/>
        <c:tickLblPos val="nextTo"/>
        <c:crossAx val="73707520"/>
        <c:crosses val="autoZero"/>
        <c:auto val="1"/>
        <c:lblAlgn val="ctr"/>
        <c:lblOffset val="100"/>
        <c:noMultiLvlLbl val="0"/>
      </c:catAx>
      <c:valAx>
        <c:axId val="73707520"/>
        <c:scaling>
          <c:orientation val="minMax"/>
          <c:max val="30"/>
          <c:min val="15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3556352"/>
        <c:crosses val="autoZero"/>
        <c:crossBetween val="between"/>
        <c:majorUnit val="5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30-34enni con istruzione terziaria </a:t>
            </a:r>
            <a:r>
              <a:rPr lang="en-US"/>
              <a:t>- Uomini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Emilia-Romagna</c:v>
                </c:pt>
                <c:pt idx="1">
                  <c:v>Lazio</c:v>
                </c:pt>
                <c:pt idx="2">
                  <c:v>Liguria</c:v>
                </c:pt>
                <c:pt idx="3">
                  <c:v>     Prov. Aut. di Trento</c:v>
                </c:pt>
                <c:pt idx="4">
                  <c:v>Friuli-Venezia Giulia</c:v>
                </c:pt>
                <c:pt idx="5">
                  <c:v>Lombardia</c:v>
                </c:pt>
                <c:pt idx="6">
                  <c:v>Umbria</c:v>
                </c:pt>
                <c:pt idx="7">
                  <c:v>Toscana</c:v>
                </c:pt>
                <c:pt idx="8">
                  <c:v>Veneto</c:v>
                </c:pt>
                <c:pt idx="9">
                  <c:v>Abruzzo</c:v>
                </c:pt>
                <c:pt idx="10">
                  <c:v>ITALIA</c:v>
                </c:pt>
                <c:pt idx="11">
                  <c:v>Piemonte</c:v>
                </c:pt>
                <c:pt idx="12">
                  <c:v>     Prov. Aut. di Bolzano</c:v>
                </c:pt>
                <c:pt idx="13">
                  <c:v>Marche</c:v>
                </c:pt>
                <c:pt idx="14">
                  <c:v>Basilicata</c:v>
                </c:pt>
                <c:pt idx="15">
                  <c:v>Valle d'Aosta</c:v>
                </c:pt>
                <c:pt idx="16">
                  <c:v>Molise</c:v>
                </c:pt>
                <c:pt idx="17">
                  <c:v>Puglia</c:v>
                </c:pt>
                <c:pt idx="18">
                  <c:v>Campania</c:v>
                </c:pt>
                <c:pt idx="19">
                  <c:v>Calabria</c:v>
                </c:pt>
                <c:pt idx="20">
                  <c:v>Sicilia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22.7</c:v>
                </c:pt>
                <c:pt idx="1">
                  <c:v>22.7</c:v>
                </c:pt>
                <c:pt idx="2">
                  <c:v>21.9</c:v>
                </c:pt>
                <c:pt idx="3">
                  <c:v>21.2</c:v>
                </c:pt>
                <c:pt idx="4">
                  <c:v>21.1</c:v>
                </c:pt>
                <c:pt idx="5">
                  <c:v>19.3</c:v>
                </c:pt>
                <c:pt idx="6">
                  <c:v>18.399999999999999</c:v>
                </c:pt>
                <c:pt idx="7">
                  <c:v>17.899999999999999</c:v>
                </c:pt>
                <c:pt idx="8">
                  <c:v>17.8</c:v>
                </c:pt>
                <c:pt idx="9">
                  <c:v>17.7</c:v>
                </c:pt>
                <c:pt idx="10">
                  <c:v>17.399999999999999</c:v>
                </c:pt>
                <c:pt idx="11">
                  <c:v>17</c:v>
                </c:pt>
                <c:pt idx="12">
                  <c:v>16.899999999999999</c:v>
                </c:pt>
                <c:pt idx="13">
                  <c:v>16.899999999999999</c:v>
                </c:pt>
                <c:pt idx="14">
                  <c:v>16.600000000000001</c:v>
                </c:pt>
                <c:pt idx="15">
                  <c:v>16</c:v>
                </c:pt>
                <c:pt idx="16">
                  <c:v>15.8</c:v>
                </c:pt>
                <c:pt idx="17">
                  <c:v>15.2</c:v>
                </c:pt>
                <c:pt idx="18">
                  <c:v>13.7</c:v>
                </c:pt>
                <c:pt idx="19">
                  <c:v>13.6</c:v>
                </c:pt>
                <c:pt idx="20">
                  <c:v>12.2</c:v>
                </c:pt>
                <c:pt idx="21">
                  <c:v>9.6999999999999993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4508928"/>
        <c:axId val="74512640"/>
      </c:barChart>
      <c:catAx>
        <c:axId val="74508928"/>
        <c:scaling>
          <c:orientation val="minMax"/>
        </c:scaling>
        <c:delete val="0"/>
        <c:axPos val="b"/>
        <c:majorTickMark val="out"/>
        <c:minorTickMark val="none"/>
        <c:tickLblPos val="nextTo"/>
        <c:crossAx val="74512640"/>
        <c:crosses val="autoZero"/>
        <c:auto val="1"/>
        <c:lblAlgn val="ctr"/>
        <c:lblOffset val="100"/>
        <c:noMultiLvlLbl val="0"/>
      </c:catAx>
      <c:valAx>
        <c:axId val="74512640"/>
        <c:scaling>
          <c:orientation val="minMax"/>
          <c:max val="25"/>
          <c:min val="5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4508928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30-34enni con istruzione terziaria </a:t>
            </a:r>
            <a:r>
              <a:rPr lang="en-US"/>
              <a:t>- Donne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Emilia-Romagna</c:v>
                </c:pt>
                <c:pt idx="1">
                  <c:v>Umbria</c:v>
                </c:pt>
                <c:pt idx="2">
                  <c:v>Liguria</c:v>
                </c:pt>
                <c:pt idx="3">
                  <c:v>     Prov. Aut. di Trento</c:v>
                </c:pt>
                <c:pt idx="4">
                  <c:v>Molise</c:v>
                </c:pt>
                <c:pt idx="5">
                  <c:v>Lazio</c:v>
                </c:pt>
                <c:pt idx="6">
                  <c:v>Lombardia</c:v>
                </c:pt>
                <c:pt idx="7">
                  <c:v>Toscana</c:v>
                </c:pt>
                <c:pt idx="8">
                  <c:v>Piemonte</c:v>
                </c:pt>
                <c:pt idx="9">
                  <c:v>Marche</c:v>
                </c:pt>
                <c:pt idx="10">
                  <c:v>Abruzzo</c:v>
                </c:pt>
                <c:pt idx="11">
                  <c:v>     Prov. Aut. di Bolzano</c:v>
                </c:pt>
                <c:pt idx="12">
                  <c:v>ITALIA</c:v>
                </c:pt>
                <c:pt idx="13">
                  <c:v>Basilicata</c:v>
                </c:pt>
                <c:pt idx="14">
                  <c:v>Veneto</c:v>
                </c:pt>
                <c:pt idx="15">
                  <c:v>Calabria</c:v>
                </c:pt>
                <c:pt idx="16">
                  <c:v>Friuli-Venezia Giulia</c:v>
                </c:pt>
                <c:pt idx="17">
                  <c:v>Valle d'Aosta</c:v>
                </c:pt>
                <c:pt idx="18">
                  <c:v>Sardegna</c:v>
                </c:pt>
                <c:pt idx="19">
                  <c:v>Puglia</c:v>
                </c:pt>
                <c:pt idx="20">
                  <c:v>Sicilia</c:v>
                </c:pt>
                <c:pt idx="21">
                  <c:v>Campania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36.1</c:v>
                </c:pt>
                <c:pt idx="1">
                  <c:v>33.299999999999997</c:v>
                </c:pt>
                <c:pt idx="2">
                  <c:v>32.700000000000003</c:v>
                </c:pt>
                <c:pt idx="3">
                  <c:v>32.700000000000003</c:v>
                </c:pt>
                <c:pt idx="4">
                  <c:v>32.1</c:v>
                </c:pt>
                <c:pt idx="5">
                  <c:v>29.6</c:v>
                </c:pt>
                <c:pt idx="6">
                  <c:v>28.1</c:v>
                </c:pt>
                <c:pt idx="7">
                  <c:v>28.1</c:v>
                </c:pt>
                <c:pt idx="8">
                  <c:v>27.9</c:v>
                </c:pt>
                <c:pt idx="9">
                  <c:v>27.6</c:v>
                </c:pt>
                <c:pt idx="10">
                  <c:v>27.6</c:v>
                </c:pt>
                <c:pt idx="11">
                  <c:v>27.5</c:v>
                </c:pt>
                <c:pt idx="12">
                  <c:v>27.2</c:v>
                </c:pt>
                <c:pt idx="13">
                  <c:v>26.1</c:v>
                </c:pt>
                <c:pt idx="14">
                  <c:v>25.7</c:v>
                </c:pt>
                <c:pt idx="15">
                  <c:v>24.1</c:v>
                </c:pt>
                <c:pt idx="16">
                  <c:v>24</c:v>
                </c:pt>
                <c:pt idx="17">
                  <c:v>22.6</c:v>
                </c:pt>
                <c:pt idx="18">
                  <c:v>22.6</c:v>
                </c:pt>
                <c:pt idx="19">
                  <c:v>21.6</c:v>
                </c:pt>
                <c:pt idx="20">
                  <c:v>20.7</c:v>
                </c:pt>
                <c:pt idx="21">
                  <c:v>19.899999999999999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4646656"/>
        <c:axId val="74654080"/>
      </c:barChart>
      <c:catAx>
        <c:axId val="74646656"/>
        <c:scaling>
          <c:orientation val="minMax"/>
        </c:scaling>
        <c:delete val="0"/>
        <c:axPos val="b"/>
        <c:majorTickMark val="out"/>
        <c:minorTickMark val="none"/>
        <c:tickLblPos val="nextTo"/>
        <c:crossAx val="74654080"/>
        <c:crosses val="autoZero"/>
        <c:auto val="1"/>
        <c:lblAlgn val="ctr"/>
        <c:lblOffset val="100"/>
        <c:noMultiLvlLbl val="0"/>
      </c:catAx>
      <c:valAx>
        <c:axId val="74654080"/>
        <c:scaling>
          <c:orientation val="minMax"/>
          <c:max val="40"/>
          <c:min val="15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4646656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2014-07-25T08:53:00Z</dcterms:created>
  <dcterms:modified xsi:type="dcterms:W3CDTF">2014-07-25T08:57:00Z</dcterms:modified>
</cp:coreProperties>
</file>