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Default="00EB1D12">
      <w:r>
        <w:rPr>
          <w:noProof/>
          <w:lang w:eastAsia="it-IT"/>
        </w:rPr>
        <w:drawing>
          <wp:inline distT="0" distB="0" distL="0" distR="0">
            <wp:extent cx="8886825" cy="5724525"/>
            <wp:effectExtent l="0" t="0" r="9525" b="9525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27374" w:rsidRDefault="00C27374">
      <w:pPr>
        <w:rPr>
          <w:b/>
        </w:rPr>
      </w:pPr>
      <w:r w:rsidRPr="0091260F">
        <w:rPr>
          <w:b/>
        </w:rPr>
        <w:t xml:space="preserve">Fonte:  </w:t>
      </w:r>
      <w:r w:rsidR="0091260F" w:rsidRPr="0091260F">
        <w:rPr>
          <w:b/>
        </w:rPr>
        <w:t xml:space="preserve">Elaborazioni </w:t>
      </w:r>
      <w:proofErr w:type="spellStart"/>
      <w:r w:rsidR="0091260F" w:rsidRPr="0091260F">
        <w:rPr>
          <w:b/>
        </w:rPr>
        <w:t>Isfol</w:t>
      </w:r>
      <w:proofErr w:type="spellEnd"/>
      <w:r w:rsidR="0091260F" w:rsidRPr="0091260F">
        <w:rPr>
          <w:b/>
        </w:rPr>
        <w:t>-Osservatorio Europa2020 su dati Istat 2014</w:t>
      </w:r>
    </w:p>
    <w:p w:rsidR="0091260F" w:rsidRDefault="0091260F">
      <w:pPr>
        <w:rPr>
          <w:b/>
        </w:rPr>
      </w:pPr>
      <w:r>
        <w:rPr>
          <w:noProof/>
          <w:lang w:eastAsia="it-IT"/>
        </w:rPr>
        <w:lastRenderedPageBreak/>
        <w:drawing>
          <wp:inline distT="0" distB="0" distL="0" distR="0" wp14:anchorId="2E608D4A" wp14:editId="491915A4">
            <wp:extent cx="8886825" cy="5724525"/>
            <wp:effectExtent l="0" t="0" r="9525" b="9525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260F" w:rsidRDefault="0091260F" w:rsidP="0091260F">
      <w:pPr>
        <w:rPr>
          <w:b/>
        </w:rPr>
      </w:pPr>
      <w:r w:rsidRPr="0091260F">
        <w:rPr>
          <w:b/>
        </w:rPr>
        <w:t xml:space="preserve">Fonte:  Elaborazioni </w:t>
      </w:r>
      <w:proofErr w:type="spellStart"/>
      <w:r w:rsidRPr="0091260F">
        <w:rPr>
          <w:b/>
        </w:rPr>
        <w:t>Isfol</w:t>
      </w:r>
      <w:proofErr w:type="spellEnd"/>
      <w:r w:rsidRPr="0091260F">
        <w:rPr>
          <w:b/>
        </w:rPr>
        <w:t>-Osservatorio Europa2020 su dati Istat 2014</w:t>
      </w:r>
    </w:p>
    <w:p w:rsidR="0091260F" w:rsidRDefault="0091260F">
      <w:pPr>
        <w:rPr>
          <w:b/>
        </w:rPr>
      </w:pPr>
      <w:r>
        <w:rPr>
          <w:noProof/>
          <w:lang w:eastAsia="it-IT"/>
        </w:rPr>
        <w:lastRenderedPageBreak/>
        <w:drawing>
          <wp:inline distT="0" distB="0" distL="0" distR="0" wp14:anchorId="009241EC" wp14:editId="05F7A932">
            <wp:extent cx="8886825" cy="5724525"/>
            <wp:effectExtent l="0" t="0" r="9525" b="9525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91260F" w:rsidRPr="0091260F" w:rsidRDefault="0091260F">
      <w:pPr>
        <w:rPr>
          <w:b/>
        </w:rPr>
      </w:pPr>
      <w:r w:rsidRPr="0091260F">
        <w:rPr>
          <w:b/>
        </w:rPr>
        <w:t xml:space="preserve">Fonte:  Elaborazioni </w:t>
      </w:r>
      <w:proofErr w:type="spellStart"/>
      <w:r w:rsidRPr="0091260F">
        <w:rPr>
          <w:b/>
        </w:rPr>
        <w:t>Isfol</w:t>
      </w:r>
      <w:proofErr w:type="spellEnd"/>
      <w:r w:rsidRPr="0091260F">
        <w:rPr>
          <w:b/>
        </w:rPr>
        <w:t>-Osservatorio Europa2020 su dati Istat 2014</w:t>
      </w:r>
    </w:p>
    <w:sectPr w:rsidR="0091260F" w:rsidRPr="0091260F" w:rsidSect="00EB1D1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12"/>
    <w:rsid w:val="002247C8"/>
    <w:rsid w:val="00246D29"/>
    <w:rsid w:val="00263886"/>
    <w:rsid w:val="003F5017"/>
    <w:rsid w:val="0091260F"/>
    <w:rsid w:val="00A00261"/>
    <w:rsid w:val="00A44FE7"/>
    <w:rsid w:val="00C27374"/>
    <w:rsid w:val="00C360FA"/>
    <w:rsid w:val="00D44278"/>
    <w:rsid w:val="00D9043C"/>
    <w:rsid w:val="00EA05D3"/>
    <w:rsid w:val="00E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Indice di vecchiaia - Totale 2013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Liguria</c:v>
                </c:pt>
                <c:pt idx="1">
                  <c:v>Friuli-Venezia Giulia</c:v>
                </c:pt>
                <c:pt idx="2">
                  <c:v>Toscana</c:v>
                </c:pt>
                <c:pt idx="3">
                  <c:v>Molise</c:v>
                </c:pt>
                <c:pt idx="4">
                  <c:v>Piemonte</c:v>
                </c:pt>
                <c:pt idx="5">
                  <c:v>Umbria</c:v>
                </c:pt>
                <c:pt idx="6">
                  <c:v>Marche</c:v>
                </c:pt>
                <c:pt idx="7">
                  <c:v>Emilia-Romagna</c:v>
                </c:pt>
                <c:pt idx="8">
                  <c:v>Abruzzo</c:v>
                </c:pt>
                <c:pt idx="9">
                  <c:v>Sardegna</c:v>
                </c:pt>
                <c:pt idx="10">
                  <c:v>Basilicata</c:v>
                </c:pt>
                <c:pt idx="11">
                  <c:v>Valle d'Aosta</c:v>
                </c:pt>
                <c:pt idx="12">
                  <c:v>ITALIA</c:v>
                </c:pt>
                <c:pt idx="13">
                  <c:v>Lazio</c:v>
                </c:pt>
                <c:pt idx="14">
                  <c:v>Lombardia</c:v>
                </c:pt>
                <c:pt idx="15">
                  <c:v>Veneto</c:v>
                </c:pt>
                <c:pt idx="16">
                  <c:v>Calabria</c:v>
                </c:pt>
                <c:pt idx="17">
                  <c:v>Puglia</c:v>
                </c:pt>
                <c:pt idx="18">
                  <c:v>     Prov. Aut. di Trento</c:v>
                </c:pt>
                <c:pt idx="19">
                  <c:v>Sicilia</c:v>
                </c:pt>
                <c:pt idx="20">
                  <c:v>     Prov. Aut. di Bolzano</c:v>
                </c:pt>
                <c:pt idx="21">
                  <c:v>Campania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238.20288356849849</c:v>
                </c:pt>
                <c:pt idx="1">
                  <c:v>191.75725280467586</c:v>
                </c:pt>
                <c:pt idx="2">
                  <c:v>187.51047497033403</c:v>
                </c:pt>
                <c:pt idx="3">
                  <c:v>183.33030452503959</c:v>
                </c:pt>
                <c:pt idx="4">
                  <c:v>182.47248704472139</c:v>
                </c:pt>
                <c:pt idx="5">
                  <c:v>181.88335777758607</c:v>
                </c:pt>
                <c:pt idx="6">
                  <c:v>172.52413939898216</c:v>
                </c:pt>
                <c:pt idx="7">
                  <c:v>170.08375441268083</c:v>
                </c:pt>
                <c:pt idx="8">
                  <c:v>170.02243574684019</c:v>
                </c:pt>
                <c:pt idx="9">
                  <c:v>169.17589618913266</c:v>
                </c:pt>
                <c:pt idx="10">
                  <c:v>158.61216830531768</c:v>
                </c:pt>
                <c:pt idx="11">
                  <c:v>153.66490691858849</c:v>
                </c:pt>
                <c:pt idx="12">
                  <c:v>151.40533361251065</c:v>
                </c:pt>
                <c:pt idx="13">
                  <c:v>149.34009849198745</c:v>
                </c:pt>
                <c:pt idx="14">
                  <c:v>147.6027534032429</c:v>
                </c:pt>
                <c:pt idx="15">
                  <c:v>146.79948856322551</c:v>
                </c:pt>
                <c:pt idx="16">
                  <c:v>139.27345204841711</c:v>
                </c:pt>
                <c:pt idx="17">
                  <c:v>134.64286751429367</c:v>
                </c:pt>
                <c:pt idx="18">
                  <c:v>131.77194960294355</c:v>
                </c:pt>
                <c:pt idx="19">
                  <c:v>130.97517060303448</c:v>
                </c:pt>
                <c:pt idx="20">
                  <c:v>113.79547262602155</c:v>
                </c:pt>
                <c:pt idx="21">
                  <c:v>106.40721761065673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0809856"/>
        <c:axId val="111137152"/>
      </c:barChart>
      <c:catAx>
        <c:axId val="110809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11137152"/>
        <c:crosses val="autoZero"/>
        <c:auto val="1"/>
        <c:lblAlgn val="ctr"/>
        <c:lblOffset val="100"/>
        <c:noMultiLvlLbl val="0"/>
      </c:catAx>
      <c:valAx>
        <c:axId val="111137152"/>
        <c:scaling>
          <c:orientation val="minMax"/>
          <c:max val="250"/>
          <c:min val="10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10809856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Indice di vecchiaia - Uomini 2013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Liguria</c:v>
                </c:pt>
                <c:pt idx="1">
                  <c:v>Friuli-Venezia Giulia</c:v>
                </c:pt>
                <c:pt idx="2">
                  <c:v>Toscana</c:v>
                </c:pt>
                <c:pt idx="3">
                  <c:v>Molise</c:v>
                </c:pt>
                <c:pt idx="4">
                  <c:v>Piemonte</c:v>
                </c:pt>
                <c:pt idx="5">
                  <c:v>Umbria</c:v>
                </c:pt>
                <c:pt idx="6">
                  <c:v>Marche</c:v>
                </c:pt>
                <c:pt idx="7">
                  <c:v>Abruzzo</c:v>
                </c:pt>
                <c:pt idx="8">
                  <c:v>Sardegna</c:v>
                </c:pt>
                <c:pt idx="9">
                  <c:v>Emilia-Romagna</c:v>
                </c:pt>
                <c:pt idx="10">
                  <c:v>Basilicata</c:v>
                </c:pt>
                <c:pt idx="11">
                  <c:v>Valle d'Aosta</c:v>
                </c:pt>
                <c:pt idx="12">
                  <c:v>ITALIA</c:v>
                </c:pt>
                <c:pt idx="13">
                  <c:v>Lazio</c:v>
                </c:pt>
                <c:pt idx="14">
                  <c:v>Veneto</c:v>
                </c:pt>
                <c:pt idx="15">
                  <c:v>Lombardia</c:v>
                </c:pt>
                <c:pt idx="16">
                  <c:v>Calabria</c:v>
                </c:pt>
                <c:pt idx="17">
                  <c:v>Puglia</c:v>
                </c:pt>
                <c:pt idx="18">
                  <c:v>Sicilia</c:v>
                </c:pt>
                <c:pt idx="19">
                  <c:v>     Prov. Aut. di Trento</c:v>
                </c:pt>
                <c:pt idx="20">
                  <c:v>     Prov. Aut. di Bolzano</c:v>
                </c:pt>
                <c:pt idx="21">
                  <c:v>Campania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192.1517387625708</c:v>
                </c:pt>
                <c:pt idx="1">
                  <c:v>155.92674304911372</c:v>
                </c:pt>
                <c:pt idx="2">
                  <c:v>154.84941640436503</c:v>
                </c:pt>
                <c:pt idx="3">
                  <c:v>152.4180183799528</c:v>
                </c:pt>
                <c:pt idx="4">
                  <c:v>150.9711474401681</c:v>
                </c:pt>
                <c:pt idx="5">
                  <c:v>150.90576364521598</c:v>
                </c:pt>
                <c:pt idx="6">
                  <c:v>143.65831640713159</c:v>
                </c:pt>
                <c:pt idx="7">
                  <c:v>143.01199183049417</c:v>
                </c:pt>
                <c:pt idx="8">
                  <c:v>142.10164236228863</c:v>
                </c:pt>
                <c:pt idx="9">
                  <c:v>141.03483690605486</c:v>
                </c:pt>
                <c:pt idx="10">
                  <c:v>133.19209760579918</c:v>
                </c:pt>
                <c:pt idx="11">
                  <c:v>128.56988316745998</c:v>
                </c:pt>
                <c:pt idx="12">
                  <c:v>125.44129579948171</c:v>
                </c:pt>
                <c:pt idx="13">
                  <c:v>123.22128674753543</c:v>
                </c:pt>
                <c:pt idx="14">
                  <c:v>120.70786280423651</c:v>
                </c:pt>
                <c:pt idx="15">
                  <c:v>120.57447711158741</c:v>
                </c:pt>
                <c:pt idx="16">
                  <c:v>119.36461623443763</c:v>
                </c:pt>
                <c:pt idx="17">
                  <c:v>113.42060557609672</c:v>
                </c:pt>
                <c:pt idx="18">
                  <c:v>110.39992168773513</c:v>
                </c:pt>
                <c:pt idx="19">
                  <c:v>107.72441077847202</c:v>
                </c:pt>
                <c:pt idx="20">
                  <c:v>95.137945571221138</c:v>
                </c:pt>
                <c:pt idx="21">
                  <c:v>88.53894727919986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6798208"/>
        <c:axId val="110843392"/>
      </c:barChart>
      <c:catAx>
        <c:axId val="76798208"/>
        <c:scaling>
          <c:orientation val="minMax"/>
        </c:scaling>
        <c:delete val="0"/>
        <c:axPos val="b"/>
        <c:majorTickMark val="out"/>
        <c:minorTickMark val="none"/>
        <c:tickLblPos val="nextTo"/>
        <c:crossAx val="110843392"/>
        <c:crosses val="autoZero"/>
        <c:auto val="1"/>
        <c:lblAlgn val="ctr"/>
        <c:lblOffset val="100"/>
        <c:noMultiLvlLbl val="0"/>
      </c:catAx>
      <c:valAx>
        <c:axId val="110843392"/>
        <c:scaling>
          <c:orientation val="minMax"/>
          <c:max val="200"/>
          <c:min val="8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76798208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Indice di vecchiaia - Donne 2013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Liguria</c:v>
                </c:pt>
                <c:pt idx="1">
                  <c:v>Friuli-Venezia Giulia</c:v>
                </c:pt>
                <c:pt idx="2">
                  <c:v>Toscana</c:v>
                </c:pt>
                <c:pt idx="3">
                  <c:v>Molise</c:v>
                </c:pt>
                <c:pt idx="4">
                  <c:v>Piemonte</c:v>
                </c:pt>
                <c:pt idx="5">
                  <c:v>Umbria</c:v>
                </c:pt>
                <c:pt idx="6">
                  <c:v>Marche</c:v>
                </c:pt>
                <c:pt idx="7">
                  <c:v>Emilia-Romagna</c:v>
                </c:pt>
                <c:pt idx="8">
                  <c:v>Abruzzo</c:v>
                </c:pt>
                <c:pt idx="9">
                  <c:v>Sardegna</c:v>
                </c:pt>
                <c:pt idx="10">
                  <c:v>Basilicata</c:v>
                </c:pt>
                <c:pt idx="11">
                  <c:v>Valle d'Aosta</c:v>
                </c:pt>
                <c:pt idx="12">
                  <c:v>ITALIA</c:v>
                </c:pt>
                <c:pt idx="13">
                  <c:v>Lazio</c:v>
                </c:pt>
                <c:pt idx="14">
                  <c:v>Lombardia</c:v>
                </c:pt>
                <c:pt idx="15">
                  <c:v>Veneto</c:v>
                </c:pt>
                <c:pt idx="16">
                  <c:v>Calabria</c:v>
                </c:pt>
                <c:pt idx="17">
                  <c:v>     Prov. Aut. di Trento</c:v>
                </c:pt>
                <c:pt idx="18">
                  <c:v>Puglia</c:v>
                </c:pt>
                <c:pt idx="19">
                  <c:v>Sicilia</c:v>
                </c:pt>
                <c:pt idx="20">
                  <c:v>     Prov. Aut. di Bolzano</c:v>
                </c:pt>
                <c:pt idx="21">
                  <c:v>Campania</c:v>
                </c:pt>
              </c:strCache>
            </c:strRef>
          </c:cat>
          <c:val>
            <c:numRef>
              <c:f>Foglio1!$B$2:$B$23</c:f>
              <c:numCache>
                <c:formatCode>0.0</c:formatCode>
                <c:ptCount val="22"/>
                <c:pt idx="0">
                  <c:v>286.79580051306971</c:v>
                </c:pt>
                <c:pt idx="1">
                  <c:v>229.74945171795039</c:v>
                </c:pt>
                <c:pt idx="2">
                  <c:v>222.11533470595359</c:v>
                </c:pt>
                <c:pt idx="3">
                  <c:v>216.41405998065139</c:v>
                </c:pt>
                <c:pt idx="4">
                  <c:v>215.78709658770649</c:v>
                </c:pt>
                <c:pt idx="5">
                  <c:v>214.6289953324933</c:v>
                </c:pt>
                <c:pt idx="6">
                  <c:v>203.10744032200216</c:v>
                </c:pt>
                <c:pt idx="7">
                  <c:v>200.87006718504404</c:v>
                </c:pt>
                <c:pt idx="8">
                  <c:v>198.67467108846421</c:v>
                </c:pt>
                <c:pt idx="9">
                  <c:v>198.07232902778784</c:v>
                </c:pt>
                <c:pt idx="10">
                  <c:v>185.90179207540967</c:v>
                </c:pt>
                <c:pt idx="11">
                  <c:v>180.17369443492171</c:v>
                </c:pt>
                <c:pt idx="12">
                  <c:v>178.85046255742699</c:v>
                </c:pt>
                <c:pt idx="13">
                  <c:v>176.98094858977888</c:v>
                </c:pt>
                <c:pt idx="14">
                  <c:v>176.23356978161578</c:v>
                </c:pt>
                <c:pt idx="15">
                  <c:v>174.30617381813664</c:v>
                </c:pt>
                <c:pt idx="16">
                  <c:v>160.29400768667094</c:v>
                </c:pt>
                <c:pt idx="17">
                  <c:v>157.1588651759792</c:v>
                </c:pt>
                <c:pt idx="18">
                  <c:v>156.98291308570808</c:v>
                </c:pt>
                <c:pt idx="19">
                  <c:v>152.56911837797765</c:v>
                </c:pt>
                <c:pt idx="20">
                  <c:v>133.58086628253528</c:v>
                </c:pt>
                <c:pt idx="21">
                  <c:v>125.25531586747046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1067520"/>
        <c:axId val="111070592"/>
      </c:barChart>
      <c:catAx>
        <c:axId val="111067520"/>
        <c:scaling>
          <c:orientation val="minMax"/>
        </c:scaling>
        <c:delete val="0"/>
        <c:axPos val="b"/>
        <c:majorTickMark val="out"/>
        <c:minorTickMark val="none"/>
        <c:tickLblPos val="nextTo"/>
        <c:crossAx val="111070592"/>
        <c:crosses val="autoZero"/>
        <c:auto val="1"/>
        <c:lblAlgn val="ctr"/>
        <c:lblOffset val="100"/>
        <c:noMultiLvlLbl val="0"/>
      </c:catAx>
      <c:valAx>
        <c:axId val="111070592"/>
        <c:scaling>
          <c:orientation val="minMax"/>
          <c:max val="300"/>
          <c:min val="10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11067520"/>
        <c:crosses val="autoZero"/>
        <c:crossBetween val="between"/>
        <c:minorUnit val="0.5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2014-07-25T08:22:00Z</dcterms:created>
  <dcterms:modified xsi:type="dcterms:W3CDTF">2014-07-25T08:33:00Z</dcterms:modified>
</cp:coreProperties>
</file>