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Default="00C27374">
      <w:r>
        <w:t>Fonte:  www.comuni-italiani.it</w:t>
      </w:r>
    </w:p>
    <w:sectPr w:rsidR="00C27374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3F5017"/>
    <w:rsid w:val="00A44FE7"/>
    <w:rsid w:val="00C27374"/>
    <w:rsid w:val="00C360FA"/>
    <w:rsid w:val="00D44278"/>
    <w:rsid w:val="00D9043C"/>
    <w:rsid w:val="00EA05D3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Stranieri residenti - 2012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Emilia-Romagna</c:v>
                </c:pt>
                <c:pt idx="1">
                  <c:v>Umbria</c:v>
                </c:pt>
                <c:pt idx="2">
                  <c:v>Lombardia</c:v>
                </c:pt>
                <c:pt idx="3">
                  <c:v>Veneto</c:v>
                </c:pt>
                <c:pt idx="4">
                  <c:v>Toscana</c:v>
                </c:pt>
                <c:pt idx="5">
                  <c:v>Lazio</c:v>
                </c:pt>
                <c:pt idx="6">
                  <c:v>Marche</c:v>
                </c:pt>
                <c:pt idx="7">
                  <c:v>     Prov. Aut. di Trento</c:v>
                </c:pt>
                <c:pt idx="8">
                  <c:v>Piemonte</c:v>
                </c:pt>
                <c:pt idx="9">
                  <c:v>Friuli-Venezia Giulia</c:v>
                </c:pt>
                <c:pt idx="10">
                  <c:v>     Prov. Aut. di Bolzano</c:v>
                </c:pt>
                <c:pt idx="11">
                  <c:v>Liguria</c:v>
                </c:pt>
                <c:pt idx="12">
                  <c:v>ITALIA</c:v>
                </c:pt>
                <c:pt idx="13">
                  <c:v>Valle d'Aosta</c:v>
                </c:pt>
                <c:pt idx="14">
                  <c:v>Abruzzo</c:v>
                </c:pt>
                <c:pt idx="15">
                  <c:v>Calabria</c:v>
                </c:pt>
                <c:pt idx="16">
                  <c:v>Molise</c:v>
                </c:pt>
                <c:pt idx="17">
                  <c:v>Campania</c:v>
                </c:pt>
                <c:pt idx="18">
                  <c:v>Sicilia</c:v>
                </c:pt>
                <c:pt idx="19">
                  <c:v>Basilicata</c:v>
                </c:pt>
                <c:pt idx="20">
                  <c:v>Puglia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11.3</c:v>
                </c:pt>
                <c:pt idx="1">
                  <c:v>11</c:v>
                </c:pt>
                <c:pt idx="2">
                  <c:v>10.7</c:v>
                </c:pt>
                <c:pt idx="3">
                  <c:v>10.199999999999999</c:v>
                </c:pt>
                <c:pt idx="4">
                  <c:v>9.6999999999999993</c:v>
                </c:pt>
                <c:pt idx="5">
                  <c:v>9.5</c:v>
                </c:pt>
                <c:pt idx="6">
                  <c:v>9.4</c:v>
                </c:pt>
                <c:pt idx="7">
                  <c:v>9.1999999999999993</c:v>
                </c:pt>
                <c:pt idx="8">
                  <c:v>8.9</c:v>
                </c:pt>
                <c:pt idx="9">
                  <c:v>8.5</c:v>
                </c:pt>
                <c:pt idx="10">
                  <c:v>8.1999999999999993</c:v>
                </c:pt>
                <c:pt idx="11">
                  <c:v>7.8</c:v>
                </c:pt>
                <c:pt idx="12">
                  <c:v>7.5</c:v>
                </c:pt>
                <c:pt idx="13">
                  <c:v>6.8</c:v>
                </c:pt>
                <c:pt idx="14">
                  <c:v>6</c:v>
                </c:pt>
                <c:pt idx="15">
                  <c:v>3.7</c:v>
                </c:pt>
                <c:pt idx="16">
                  <c:v>2.8</c:v>
                </c:pt>
                <c:pt idx="17">
                  <c:v>2.8</c:v>
                </c:pt>
                <c:pt idx="18">
                  <c:v>2.8</c:v>
                </c:pt>
                <c:pt idx="19">
                  <c:v>2.5</c:v>
                </c:pt>
                <c:pt idx="20">
                  <c:v>2.2999999999999998</c:v>
                </c:pt>
                <c:pt idx="21">
                  <c:v>2.2999999999999998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7297152"/>
        <c:axId val="77309056"/>
      </c:barChart>
      <c:catAx>
        <c:axId val="77297152"/>
        <c:scaling>
          <c:orientation val="minMax"/>
        </c:scaling>
        <c:delete val="0"/>
        <c:axPos val="b"/>
        <c:majorTickMark val="out"/>
        <c:minorTickMark val="none"/>
        <c:tickLblPos val="nextTo"/>
        <c:crossAx val="77309056"/>
        <c:crosses val="autoZero"/>
        <c:auto val="1"/>
        <c:lblAlgn val="ctr"/>
        <c:lblOffset val="100"/>
        <c:noMultiLvlLbl val="0"/>
      </c:catAx>
      <c:valAx>
        <c:axId val="77309056"/>
        <c:scaling>
          <c:orientation val="minMax"/>
          <c:max val="12"/>
          <c:min val="2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7297152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2014-07-25T06:54:00Z</dcterms:created>
  <dcterms:modified xsi:type="dcterms:W3CDTF">2014-07-25T06:57:00Z</dcterms:modified>
</cp:coreProperties>
</file>