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05" w:rsidRDefault="00AF0805" w:rsidP="00502A9E">
      <w:pPr>
        <w:jc w:val="center"/>
        <w:rPr>
          <w:b/>
          <w:sz w:val="40"/>
          <w:szCs w:val="40"/>
        </w:rPr>
      </w:pPr>
    </w:p>
    <w:p w:rsidR="005D4EDF" w:rsidRPr="00502A9E" w:rsidRDefault="006D4DB1" w:rsidP="00502A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Provincia Autonoma di </w:t>
      </w:r>
      <w:r w:rsidR="00572C27">
        <w:rPr>
          <w:b/>
          <w:sz w:val="40"/>
          <w:szCs w:val="40"/>
        </w:rPr>
        <w:t>Trento</w:t>
      </w:r>
    </w:p>
    <w:p w:rsidR="0052645F" w:rsidRDefault="0052645F" w:rsidP="0052645F">
      <w:pPr>
        <w:jc w:val="center"/>
      </w:pPr>
      <w:r>
        <w:rPr>
          <w:noProof/>
          <w:lang w:eastAsia="it-IT"/>
        </w:rPr>
        <w:drawing>
          <wp:inline distT="0" distB="0" distL="0" distR="0" wp14:anchorId="63FD99DD" wp14:editId="1304A807">
            <wp:extent cx="1988863" cy="2494253"/>
            <wp:effectExtent l="0" t="0" r="0" b="1905"/>
            <wp:docPr id="8" name="Immagine 8" descr="C:\Users\m.picozza\Desktop\schede regionali\239px-Trentino_in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icozza\Desktop\schede regionali\239px-Trentino_in_Italy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88" cy="249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71" w:rsidRDefault="0089754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163" wp14:editId="77FF5FFB">
                <wp:simplePos x="0" y="0"/>
                <wp:positionH relativeFrom="column">
                  <wp:posOffset>1552847</wp:posOffset>
                </wp:positionH>
                <wp:positionV relativeFrom="paragraph">
                  <wp:posOffset>287383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25pt;margin-top:22.65pt;width:231.45pt;height:41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" fillcolor="#92cddc [1944]" strokecolor="#243f60 [1604]" strokeweight="2pt"/>
            </w:pict>
          </mc:Fallback>
        </mc:AlternateContent>
      </w:r>
    </w:p>
    <w:p w:rsidR="00140171" w:rsidRPr="00254727" w:rsidRDefault="00897541" w:rsidP="0014017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54"/>
        <w:gridCol w:w="1054"/>
        <w:gridCol w:w="1054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CE61A6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A533A" w:rsidRDefault="008E40A3" w:rsidP="001A5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1A533A">
              <w:rPr>
                <w:b/>
              </w:rPr>
              <w:t>41.</w:t>
            </w:r>
            <w:r w:rsidR="001A533A" w:rsidRPr="001A533A">
              <w:rPr>
                <w:b/>
              </w:rPr>
              <w:t>815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A533A" w:rsidRDefault="008E40A3" w:rsidP="001A5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1A533A">
              <w:rPr>
                <w:b/>
              </w:rPr>
              <w:t>39.</w:t>
            </w:r>
            <w:r w:rsidR="001A533A" w:rsidRPr="001A533A">
              <w:rPr>
                <w:b/>
              </w:rPr>
              <w:t>433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1A533A" w:rsidRDefault="001A533A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A533A">
              <w:rPr>
                <w:b/>
              </w:rPr>
              <w:t>81.248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13.</w:t>
            </w:r>
            <w:r w:rsidR="00060BB3" w:rsidRPr="00060BB3">
              <w:rPr>
                <w:b/>
              </w:rPr>
              <w:t>925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13.181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27.106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13.</w:t>
            </w:r>
            <w:r w:rsidR="00060BB3" w:rsidRPr="00060BB3">
              <w:rPr>
                <w:b/>
              </w:rPr>
              <w:t>961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13.</w:t>
            </w:r>
            <w:r w:rsidR="00060BB3" w:rsidRPr="00060BB3">
              <w:rPr>
                <w:b/>
              </w:rPr>
              <w:t>375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27.336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14.</w:t>
            </w:r>
            <w:r w:rsidR="00060BB3" w:rsidRPr="00060BB3">
              <w:rPr>
                <w:b/>
              </w:rPr>
              <w:t>403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14.</w:t>
            </w:r>
            <w:r w:rsidR="00060BB3" w:rsidRPr="00060BB3">
              <w:rPr>
                <w:b/>
              </w:rPr>
              <w:t>265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28.</w:t>
            </w:r>
            <w:r w:rsidR="00060BB3" w:rsidRPr="00060BB3">
              <w:rPr>
                <w:b/>
              </w:rPr>
              <w:t>668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15.893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8E40A3" w:rsidP="00060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15.</w:t>
            </w:r>
            <w:r w:rsidR="00060BB3" w:rsidRPr="00060BB3">
              <w:rPr>
                <w:b/>
              </w:rPr>
              <w:t>485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31.378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39.845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39.828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79.673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75.851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75.801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151.652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60BB3">
              <w:rPr>
                <w:b/>
              </w:rPr>
              <w:t>46.292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62.884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109.176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261.985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274.252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060BB3" w:rsidRDefault="00060BB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60BB3">
              <w:rPr>
                <w:b/>
              </w:rPr>
              <w:t>536.237</w:t>
            </w:r>
          </w:p>
        </w:tc>
      </w:tr>
    </w:tbl>
    <w:p w:rsidR="00140171" w:rsidRDefault="00140171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09677E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8E40A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</w:t>
            </w:r>
            <w:r w:rsidR="008E40A3"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8E40A3"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</w:t>
            </w:r>
            <w:r w:rsidR="007F3EDB"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</w:t>
            </w:r>
            <w:r w:rsidR="00A628C9"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8E40A3"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8E40A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8E40A3"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7A693E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</w:t>
            </w:r>
            <w:r w:rsidR="00160A18"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A628C9"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626170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</w:t>
            </w:r>
            <w:r w:rsidR="007A693E"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A628C9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7A693E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A628C9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A628C9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8E40A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</w:t>
            </w:r>
            <w:r w:rsidR="007A693E"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160A1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A628C9" w:rsidP="00AA33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20,4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160A1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0A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8C9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8C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600075" w:rsidRDefault="00600075"/>
    <w:p w:rsidR="005B4918" w:rsidRPr="00E2758E" w:rsidRDefault="005B4918" w:rsidP="005B4918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56B014" wp14:editId="76ADD41E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XnfeH5ICAACW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B491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5B4918" w:rsidRDefault="005B4918" w:rsidP="005B4918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B491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14.293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18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B491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18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23.551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918" w:rsidRPr="008809D6" w:rsidRDefault="005B491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8A25D8" w:rsidRDefault="008A25D8"/>
    <w:p w:rsidR="00254727" w:rsidRDefault="004F3FA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13751" wp14:editId="6D040D2B">
                <wp:simplePos x="0" y="0"/>
                <wp:positionH relativeFrom="column">
                  <wp:posOffset>764015</wp:posOffset>
                </wp:positionH>
                <wp:positionV relativeFrom="paragraph">
                  <wp:posOffset>212984</wp:posOffset>
                </wp:positionV>
                <wp:extent cx="4581575" cy="5668323"/>
                <wp:effectExtent l="0" t="0" r="2857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75" cy="56683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0.15pt;margin-top:16.75pt;width:360.75pt;height:44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" fillcolor="#e36c0a [2409]" strokecolor="#243f60 [1604]" strokeweight="2pt"/>
            </w:pict>
          </mc:Fallback>
        </mc:AlternateContent>
      </w:r>
    </w:p>
    <w:p w:rsidR="00254727" w:rsidRPr="00254727" w:rsidRDefault="00254727" w:rsidP="00254727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EC276D" w:rsidP="00274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</w:tr>
    </w:tbl>
    <w:p w:rsidR="00254727" w:rsidRDefault="0025472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E066C9" w:rsidP="00544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</w:t>
            </w:r>
            <w:r w:rsidR="00544F5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  <w:r w:rsidR="00A00AD9">
              <w:rPr>
                <w:rFonts w:ascii="Calibri" w:eastAsia="Times New Roman" w:hAnsi="Calibri" w:cs="Calibri"/>
                <w:color w:val="000000"/>
                <w:lang w:eastAsia="it-IT"/>
              </w:rPr>
              <w:t>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A0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A00AD9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</w:tr>
    </w:tbl>
    <w:p w:rsidR="002874E7" w:rsidRDefault="002874E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F235AA" w:rsidRPr="00F235AA" w:rsidTr="00F235AA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544F5D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544F5D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544F5D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915080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-1,2</w:t>
            </w:r>
          </w:p>
        </w:tc>
      </w:tr>
    </w:tbl>
    <w:p w:rsidR="007728AE" w:rsidRDefault="007728AE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417EB1" w:rsidRPr="00417EB1" w:rsidTr="00417EB1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44F5D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44F5D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544F5D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2D0117" w:rsidP="00544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596FAC">
              <w:rPr>
                <w:rFonts w:ascii="Calibri" w:eastAsia="Times New Roman" w:hAnsi="Calibri" w:cs="Calibri"/>
                <w:color w:val="000000"/>
                <w:lang w:eastAsia="it-IT"/>
              </w:rPr>
              <w:t>69,1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596FA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0,2</w:t>
            </w:r>
          </w:p>
        </w:tc>
      </w:tr>
    </w:tbl>
    <w:p w:rsidR="00417EB1" w:rsidRDefault="00417EB1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167FAE" w:rsidRPr="00167FAE" w:rsidTr="00167FAE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544F5D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991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991F0B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8,2</w:t>
            </w:r>
          </w:p>
        </w:tc>
      </w:tr>
    </w:tbl>
    <w:p w:rsidR="00C35AAF" w:rsidRDefault="00C35AAF" w:rsidP="005D0AA6">
      <w:pPr>
        <w:rPr>
          <w:b/>
        </w:rPr>
      </w:pPr>
    </w:p>
    <w:p w:rsidR="00BD08CA" w:rsidRDefault="008C273D" w:rsidP="007D35F0">
      <w:pPr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49FA06" wp14:editId="45097120">
                <wp:simplePos x="0" y="0"/>
                <wp:positionH relativeFrom="column">
                  <wp:posOffset>-158388</wp:posOffset>
                </wp:positionH>
                <wp:positionV relativeFrom="paragraph">
                  <wp:posOffset>174716</wp:posOffset>
                </wp:positionV>
                <wp:extent cx="6204857" cy="4258400"/>
                <wp:effectExtent l="0" t="0" r="2476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7" cy="42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12.45pt;margin-top:13.75pt;width:488.55pt;height:33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" fillcolor="#d99594 [1941]" strokecolor="#243f60 [1604]" strokeweight="2pt"/>
            </w:pict>
          </mc:Fallback>
        </mc:AlternateContent>
      </w:r>
    </w:p>
    <w:p w:rsidR="00084BE8" w:rsidRDefault="00084BE8" w:rsidP="00084BE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51"/>
        <w:gridCol w:w="1132"/>
        <w:gridCol w:w="1132"/>
        <w:gridCol w:w="186"/>
        <w:gridCol w:w="1819"/>
        <w:gridCol w:w="654"/>
        <w:gridCol w:w="654"/>
        <w:gridCol w:w="654"/>
      </w:tblGrid>
      <w:tr w:rsidR="00C662CE" w:rsidRPr="00140171" w:rsidTr="007C7108">
        <w:trPr>
          <w:trHeight w:val="300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C662CE" w:rsidRPr="00140171" w:rsidTr="007C7108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FB1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essuno</w:t>
            </w: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91.175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83.037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75.566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21,9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19,3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16,7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Licenza 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126.702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125.945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128.709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30,4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29,3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28,5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159.962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173.479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191.321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38,4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40,3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42,5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</w:t>
            </w:r>
            <w:r w:rsidR="007C7108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38.855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48.026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F00E1" w:rsidP="00716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55.</w:t>
            </w:r>
            <w:r w:rsidR="0071607B"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9,3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416.694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62E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430.487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451.289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383F55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83F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383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62CE" w:rsidRPr="00140171" w:rsidTr="008C273D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8C273D" w:rsidRPr="00140171" w:rsidTr="008C273D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C273D" w:rsidRPr="00140171" w:rsidTr="005D4EDF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8C273D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31.020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24.318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13.811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</w:t>
            </w:r>
            <w:r w:rsidR="008B5FB5"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,7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87.388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81.939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82.480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8B5FB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</w:t>
            </w:r>
            <w:r w:rsidR="0071607B"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,1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127.040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136.846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8B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148.476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45,5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48,0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50,7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33.939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42.080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716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48.</w:t>
            </w:r>
            <w:r w:rsidR="0071607B"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16,5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279.387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D42596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285.183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71607B" w:rsidP="008B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Arial" w:hAnsi="Arial" w:cs="Arial"/>
                <w:b/>
                <w:color w:val="000000"/>
                <w:sz w:val="20"/>
                <w:szCs w:val="20"/>
              </w:rPr>
              <w:t>293.060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1607B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160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C662CE" w:rsidRDefault="00821F00" w:rsidP="005D0AA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E44D50" wp14:editId="1576C3B1">
                <wp:simplePos x="0" y="0"/>
                <wp:positionH relativeFrom="column">
                  <wp:posOffset>1448618</wp:posOffset>
                </wp:positionH>
                <wp:positionV relativeFrom="paragraph">
                  <wp:posOffset>312263</wp:posOffset>
                </wp:positionV>
                <wp:extent cx="3183255" cy="4528913"/>
                <wp:effectExtent l="0" t="0" r="17145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52891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14.05pt;margin-top:24.6pt;width:250.65pt;height:356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" fillcolor="#92d050" strokecolor="#243f60 [1604]" strokeweight="2pt"/>
            </w:pict>
          </mc:Fallback>
        </mc:AlternateContent>
      </w:r>
    </w:p>
    <w:p w:rsidR="00D53114" w:rsidRDefault="00D53114" w:rsidP="00D53114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48327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83278" w:rsidRPr="00483278">
        <w:rPr>
          <w:b/>
        </w:rPr>
        <w:t>2020</w:t>
      </w:r>
      <w:r>
        <w:rPr>
          <w:b/>
        </w:rPr>
        <w:t xml:space="preserve"> </w:t>
      </w:r>
    </w:p>
    <w:p w:rsidR="00483278" w:rsidRDefault="00D53114" w:rsidP="00D53114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7D35F0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0E1249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1351C1" w:rsidRDefault="001351C1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51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1351C1" w:rsidRDefault="001351C1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51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1351C1" w:rsidRDefault="001351C1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51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C35AAF" w:rsidRPr="00B05081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664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8217C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4819D7" w:rsidRDefault="000E1249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819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4819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Aut. Trento</w:t>
            </w:r>
            <w:r w:rsidR="004819D7" w:rsidRPr="004819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4819D7" w:rsidRPr="004819D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(2012)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AA3DB9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AA3DB9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90,7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AA3DB9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C35AAF" w:rsidRPr="00B05081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9F4B26" w:rsidRPr="009F4B26" w:rsidTr="009F4B26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746A26" w:rsidP="00746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8217C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0E1249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C93348" w:rsidRDefault="00C93348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933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C93348" w:rsidRDefault="00C93348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933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C93348" w:rsidRDefault="00C93348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933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7D35F0" w:rsidRDefault="007D35F0" w:rsidP="004E4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9F4B26" w:rsidRPr="00B05081" w:rsidRDefault="009F4B26" w:rsidP="00483278">
      <w:pPr>
        <w:jc w:val="center"/>
        <w:rPr>
          <w:b/>
          <w:sz w:val="16"/>
          <w:szCs w:val="16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21F00" w:rsidRPr="009F4B26" w:rsidTr="00DE1E3A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F00" w:rsidRPr="009F4B26" w:rsidRDefault="0044514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8217C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21F00" w:rsidRPr="009F4B26" w:rsidTr="00DE1E3A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Aut. Trento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21F00" w:rsidRPr="009F4B26" w:rsidTr="00DE1E3A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F00" w:rsidRPr="009F4B26" w:rsidRDefault="00821F00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21F00" w:rsidRPr="009F4B26" w:rsidTr="00DE1E3A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7A0C8D" w:rsidRDefault="007A0C8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A0C8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7A0C8D" w:rsidRDefault="007A0C8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A0C8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7A0C8D" w:rsidRDefault="007A0C8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A0C8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7D35F0" w:rsidRDefault="007D35F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00" w:rsidRPr="007D35F0" w:rsidRDefault="007D35F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F00" w:rsidRPr="007D35F0" w:rsidRDefault="00B0508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7D35F0" w:rsidRPr="007D35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8217C7" w:rsidRDefault="008217C7" w:rsidP="00DE1E3A">
      <w:pPr>
        <w:jc w:val="center"/>
        <w:rPr>
          <w:b/>
        </w:rPr>
      </w:pPr>
    </w:p>
    <w:p w:rsidR="001D2005" w:rsidRDefault="00DE1E3A" w:rsidP="00DE1E3A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provinciale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4819D7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1D2005" w:rsidRDefault="001D2005" w:rsidP="005658F0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0A0D0714" wp14:editId="30D5423D">
            <wp:extent cx="2016000" cy="2016000"/>
            <wp:effectExtent l="0" t="0" r="22860" b="22860"/>
            <wp:docPr id="16" name="Gra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5AAF832" wp14:editId="3B009BD6">
            <wp:extent cx="2016000" cy="2016000"/>
            <wp:effectExtent l="0" t="0" r="22860" b="22860"/>
            <wp:docPr id="17" name="Gra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2614633" wp14:editId="08CEE2B4">
            <wp:extent cx="2016000" cy="2016000"/>
            <wp:effectExtent l="0" t="0" r="22860" b="22860"/>
            <wp:docPr id="18" name="Gra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1E3A" w:rsidRPr="00A3102C" w:rsidRDefault="00DE1E3A" w:rsidP="00DE1E3A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DE1E3A" w:rsidRPr="00A3102C" w:rsidRDefault="00DE1E3A" w:rsidP="00DE1E3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DE1E3A" w:rsidRPr="00A3102C" w:rsidRDefault="00DE1E3A" w:rsidP="00DE1E3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DE1E3A" w:rsidRPr="00A3102C" w:rsidRDefault="00DE1E3A" w:rsidP="00DE1E3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DE1E3A" w:rsidRPr="00DE1E3A" w:rsidRDefault="00DE1E3A" w:rsidP="00DE1E3A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DE1E3A" w:rsidRDefault="00DE1E3A" w:rsidP="005658F0">
      <w:pPr>
        <w:rPr>
          <w:b/>
          <w:u w:val="single"/>
        </w:rPr>
      </w:pPr>
    </w:p>
    <w:p w:rsidR="00DE1E3A" w:rsidRDefault="00DE1E3A" w:rsidP="005658F0">
      <w:pPr>
        <w:rPr>
          <w:b/>
          <w:u w:val="single"/>
        </w:rPr>
      </w:pPr>
    </w:p>
    <w:p w:rsidR="005658F0" w:rsidRPr="00306F88" w:rsidRDefault="00CF6E1D" w:rsidP="005658F0">
      <w:pPr>
        <w:rPr>
          <w:b/>
          <w:u w:val="single"/>
        </w:rPr>
      </w:pPr>
      <w:r>
        <w:rPr>
          <w:b/>
          <w:u w:val="single"/>
        </w:rPr>
        <w:t>Note su</w:t>
      </w:r>
      <w:r w:rsidR="005658F0"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="005658F0" w:rsidRPr="00306F88">
        <w:rPr>
          <w:b/>
          <w:u w:val="single"/>
        </w:rPr>
        <w:t>:</w:t>
      </w:r>
    </w:p>
    <w:p w:rsidR="00820352" w:rsidRDefault="00820352" w:rsidP="005658F0">
      <w:pPr>
        <w:rPr>
          <w:b/>
          <w:sz w:val="24"/>
          <w:szCs w:val="24"/>
        </w:rPr>
      </w:pPr>
    </w:p>
    <w:p w:rsidR="00FD247E" w:rsidRDefault="005658F0" w:rsidP="0082035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>:</w:t>
      </w:r>
      <w:r w:rsidR="00FD247E">
        <w:rPr>
          <w:b/>
        </w:rPr>
        <w:t xml:space="preserve"> </w:t>
      </w:r>
    </w:p>
    <w:p w:rsidR="00820352" w:rsidRDefault="00FD247E" w:rsidP="00820352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820352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5658F0" w:rsidRDefault="00FD247E" w:rsidP="00820352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820352" w:rsidRDefault="00820352" w:rsidP="00FD247E">
      <w:pPr>
        <w:rPr>
          <w:b/>
          <w:sz w:val="24"/>
          <w:szCs w:val="24"/>
        </w:rPr>
      </w:pPr>
    </w:p>
    <w:p w:rsidR="00FD247E" w:rsidRDefault="005658F0" w:rsidP="00820352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="00FD247E" w:rsidRPr="00FD247E">
        <w:t xml:space="preserve"> </w:t>
      </w:r>
    </w:p>
    <w:p w:rsidR="005658F0" w:rsidRPr="00FD247E" w:rsidRDefault="00FD247E" w:rsidP="00820352">
      <w:pPr>
        <w:spacing w:after="0" w:line="240" w:lineRule="auto"/>
      </w:pPr>
      <w:r w:rsidRPr="00FD247E">
        <w:t xml:space="preserve">Indicatore statistico che quantifica l’incidenza della popolazione </w:t>
      </w:r>
      <w:r w:rsidR="00820352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820352" w:rsidRDefault="00820352" w:rsidP="005658F0">
      <w:pPr>
        <w:rPr>
          <w:b/>
          <w:sz w:val="24"/>
          <w:szCs w:val="24"/>
        </w:rPr>
      </w:pPr>
    </w:p>
    <w:p w:rsidR="005658F0" w:rsidRDefault="005658F0" w:rsidP="0082035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</w:t>
      </w:r>
      <w:r w:rsidR="00C40254" w:rsidRPr="00306F88">
        <w:rPr>
          <w:b/>
          <w:sz w:val="24"/>
          <w:szCs w:val="24"/>
        </w:rPr>
        <w:t>/EUROSTAT</w:t>
      </w:r>
      <w:r>
        <w:rPr>
          <w:b/>
        </w:rPr>
        <w:t>:</w:t>
      </w:r>
    </w:p>
    <w:p w:rsidR="003549EA" w:rsidRDefault="003549EA" w:rsidP="003549EA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3549EA" w:rsidRDefault="003549EA" w:rsidP="003549EA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C40254" w:rsidRDefault="00C40254" w:rsidP="00820352">
      <w:pPr>
        <w:spacing w:after="0" w:line="240" w:lineRule="auto"/>
      </w:pPr>
      <w:r>
        <w:t>ISTAT ed EUROSTAT calcolano questo tasso in maniera diversa:</w:t>
      </w:r>
    </w:p>
    <w:p w:rsidR="00C40254" w:rsidRDefault="00C40254" w:rsidP="00820352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C40254" w:rsidRDefault="00C40254" w:rsidP="00820352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C40254" w:rsidRPr="00C40254" w:rsidRDefault="00C40254" w:rsidP="00820352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820352" w:rsidRDefault="00820352" w:rsidP="005658F0">
      <w:pPr>
        <w:rPr>
          <w:b/>
          <w:sz w:val="24"/>
          <w:szCs w:val="24"/>
        </w:rPr>
      </w:pPr>
    </w:p>
    <w:p w:rsidR="005658F0" w:rsidRDefault="005658F0" w:rsidP="00820352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C40254" w:rsidRDefault="00C40254" w:rsidP="00820352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C40254" w:rsidRDefault="00C40254" w:rsidP="005658F0">
      <w:pPr>
        <w:rPr>
          <w:b/>
        </w:rPr>
      </w:pPr>
    </w:p>
    <w:p w:rsidR="00D53114" w:rsidRPr="00C40254" w:rsidRDefault="00D53114" w:rsidP="00D5311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820352" w:rsidRDefault="00820352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08293E" w:rsidRPr="00820352" w:rsidRDefault="0098788A" w:rsidP="0082035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20 e i 24 anni che ha conseguito almeno un titolo di scuola secondaria superiore –diploma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titolo</w:t>
      </w:r>
      <w:r w:rsidR="00820352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820352" w:rsidRDefault="00820352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658F0" w:rsidRPr="00C40254" w:rsidRDefault="004D5D12" w:rsidP="00820352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30 e i 34 anni che ha conseguito un titolo di istruzione terziaria universitaria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non universitaria (livello ISCED 5)</w:t>
      </w:r>
    </w:p>
    <w:p w:rsidR="005658F0" w:rsidRDefault="005658F0" w:rsidP="005658F0">
      <w:pPr>
        <w:rPr>
          <w:b/>
        </w:rPr>
      </w:pPr>
    </w:p>
    <w:p w:rsidR="00445144" w:rsidRPr="00AA5D65" w:rsidRDefault="00445144" w:rsidP="00445144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5658F0" w:rsidRDefault="005658F0" w:rsidP="005658F0">
      <w:pPr>
        <w:rPr>
          <w:b/>
        </w:rPr>
      </w:pPr>
    </w:p>
    <w:p w:rsidR="00820352" w:rsidRDefault="00820352" w:rsidP="005658F0">
      <w:pPr>
        <w:rPr>
          <w:b/>
        </w:rPr>
      </w:pPr>
    </w:p>
    <w:p w:rsidR="005658F0" w:rsidRDefault="005658F0" w:rsidP="005658F0">
      <w:pPr>
        <w:rPr>
          <w:b/>
        </w:rPr>
      </w:pPr>
      <w:r>
        <w:rPr>
          <w:b/>
        </w:rPr>
        <w:t>Fonti:</w:t>
      </w:r>
    </w:p>
    <w:p w:rsidR="00CD0222" w:rsidRDefault="00CD0222" w:rsidP="005658F0">
      <w:pPr>
        <w:rPr>
          <w:b/>
        </w:rPr>
      </w:pPr>
      <w:r>
        <w:rPr>
          <w:b/>
        </w:rPr>
        <w:t>Indicatori demografici: Istat 2012</w:t>
      </w:r>
    </w:p>
    <w:p w:rsidR="00CD0222" w:rsidRDefault="00CD0222" w:rsidP="005658F0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AC4AE7" w:rsidRDefault="0097770A" w:rsidP="005658F0">
      <w:pPr>
        <w:rPr>
          <w:b/>
        </w:rPr>
      </w:pPr>
      <w:r>
        <w:rPr>
          <w:b/>
        </w:rPr>
        <w:t xml:space="preserve">Indicatori occupazionali: </w:t>
      </w:r>
      <w:r w:rsidR="00AC4AE7">
        <w:rPr>
          <w:b/>
        </w:rPr>
        <w:t xml:space="preserve"> Elaborazioni </w:t>
      </w:r>
      <w:proofErr w:type="spellStart"/>
      <w:r w:rsidR="00AC4AE7">
        <w:rPr>
          <w:b/>
        </w:rPr>
        <w:t>Isfol</w:t>
      </w:r>
      <w:proofErr w:type="spellEnd"/>
      <w:r w:rsidR="00AC4AE7">
        <w:rPr>
          <w:b/>
        </w:rPr>
        <w:t xml:space="preserve"> – Osservatorio Europa 2020 su dati Istat</w:t>
      </w:r>
    </w:p>
    <w:p w:rsidR="00AC4AE7" w:rsidRDefault="00AC4AE7" w:rsidP="005658F0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Default="005658F0" w:rsidP="005658F0">
      <w:pPr>
        <w:rPr>
          <w:b/>
        </w:rPr>
      </w:pPr>
      <w:r>
        <w:rPr>
          <w:b/>
        </w:rPr>
        <w:t>I</w:t>
      </w:r>
      <w:r w:rsidR="00AC4AE7">
        <w:rPr>
          <w:b/>
        </w:rPr>
        <w:t>ndicatori e benchmark 2020: Ela</w:t>
      </w:r>
      <w:r>
        <w:rPr>
          <w:b/>
        </w:rPr>
        <w:t xml:space="preserve">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Pr="00483278" w:rsidRDefault="005658F0" w:rsidP="005658F0">
      <w:pPr>
        <w:rPr>
          <w:b/>
        </w:rPr>
      </w:pPr>
    </w:p>
    <w:sectPr w:rsidR="005658F0" w:rsidRPr="00483278" w:rsidSect="0048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E"/>
    <w:rsid w:val="00010948"/>
    <w:rsid w:val="00042EAD"/>
    <w:rsid w:val="00054790"/>
    <w:rsid w:val="00060BB3"/>
    <w:rsid w:val="0008293E"/>
    <w:rsid w:val="00084BE8"/>
    <w:rsid w:val="0009677E"/>
    <w:rsid w:val="000E1249"/>
    <w:rsid w:val="001351C1"/>
    <w:rsid w:val="00140171"/>
    <w:rsid w:val="001412A6"/>
    <w:rsid w:val="00160A18"/>
    <w:rsid w:val="00167FAE"/>
    <w:rsid w:val="00177269"/>
    <w:rsid w:val="001A533A"/>
    <w:rsid w:val="001A7BBA"/>
    <w:rsid w:val="001D2005"/>
    <w:rsid w:val="001F5C11"/>
    <w:rsid w:val="00251F14"/>
    <w:rsid w:val="00254727"/>
    <w:rsid w:val="00270540"/>
    <w:rsid w:val="002747B4"/>
    <w:rsid w:val="002874E7"/>
    <w:rsid w:val="002D0117"/>
    <w:rsid w:val="00306F88"/>
    <w:rsid w:val="00310F66"/>
    <w:rsid w:val="00352BCF"/>
    <w:rsid w:val="003549EA"/>
    <w:rsid w:val="00372A86"/>
    <w:rsid w:val="00383F55"/>
    <w:rsid w:val="003A2071"/>
    <w:rsid w:val="00417EB1"/>
    <w:rsid w:val="00432EA9"/>
    <w:rsid w:val="00440D33"/>
    <w:rsid w:val="00445144"/>
    <w:rsid w:val="004819D7"/>
    <w:rsid w:val="00483278"/>
    <w:rsid w:val="004D5D12"/>
    <w:rsid w:val="004E4683"/>
    <w:rsid w:val="004F18A5"/>
    <w:rsid w:val="004F3FA5"/>
    <w:rsid w:val="00502A9E"/>
    <w:rsid w:val="0052645F"/>
    <w:rsid w:val="00544F5D"/>
    <w:rsid w:val="005658F0"/>
    <w:rsid w:val="00572C27"/>
    <w:rsid w:val="00596FAC"/>
    <w:rsid w:val="005A59EB"/>
    <w:rsid w:val="005B4918"/>
    <w:rsid w:val="005D0AA6"/>
    <w:rsid w:val="005D4EDF"/>
    <w:rsid w:val="005F2CD1"/>
    <w:rsid w:val="00600075"/>
    <w:rsid w:val="00626170"/>
    <w:rsid w:val="00650264"/>
    <w:rsid w:val="0065070A"/>
    <w:rsid w:val="006643FC"/>
    <w:rsid w:val="00682235"/>
    <w:rsid w:val="006A49AD"/>
    <w:rsid w:val="006D4DB1"/>
    <w:rsid w:val="006D5419"/>
    <w:rsid w:val="00711BB6"/>
    <w:rsid w:val="0071607B"/>
    <w:rsid w:val="00746A26"/>
    <w:rsid w:val="00762EB5"/>
    <w:rsid w:val="007728AE"/>
    <w:rsid w:val="00782112"/>
    <w:rsid w:val="007A0C8D"/>
    <w:rsid w:val="007A5EBB"/>
    <w:rsid w:val="007A693E"/>
    <w:rsid w:val="007C3F8C"/>
    <w:rsid w:val="007C7108"/>
    <w:rsid w:val="007D35F0"/>
    <w:rsid w:val="007F00E1"/>
    <w:rsid w:val="007F3EDB"/>
    <w:rsid w:val="008018A9"/>
    <w:rsid w:val="00812B82"/>
    <w:rsid w:val="00820352"/>
    <w:rsid w:val="008217C7"/>
    <w:rsid w:val="00821F00"/>
    <w:rsid w:val="0088392E"/>
    <w:rsid w:val="00897541"/>
    <w:rsid w:val="008A25D8"/>
    <w:rsid w:val="008B5FB5"/>
    <w:rsid w:val="008C0B32"/>
    <w:rsid w:val="008C273D"/>
    <w:rsid w:val="008D2F60"/>
    <w:rsid w:val="008D6243"/>
    <w:rsid w:val="008E40A3"/>
    <w:rsid w:val="00915080"/>
    <w:rsid w:val="00935861"/>
    <w:rsid w:val="0097770A"/>
    <w:rsid w:val="00981EAA"/>
    <w:rsid w:val="0098788A"/>
    <w:rsid w:val="00991F0B"/>
    <w:rsid w:val="009C2CFA"/>
    <w:rsid w:val="009F4B26"/>
    <w:rsid w:val="00A00AD9"/>
    <w:rsid w:val="00A6000A"/>
    <w:rsid w:val="00A628C9"/>
    <w:rsid w:val="00A74290"/>
    <w:rsid w:val="00AA333A"/>
    <w:rsid w:val="00AA3DB9"/>
    <w:rsid w:val="00AC4AE7"/>
    <w:rsid w:val="00AD5CFD"/>
    <w:rsid w:val="00AF0805"/>
    <w:rsid w:val="00B05081"/>
    <w:rsid w:val="00B9334D"/>
    <w:rsid w:val="00BD08CA"/>
    <w:rsid w:val="00C33B15"/>
    <w:rsid w:val="00C35AAF"/>
    <w:rsid w:val="00C40254"/>
    <w:rsid w:val="00C662CE"/>
    <w:rsid w:val="00C93348"/>
    <w:rsid w:val="00CA6493"/>
    <w:rsid w:val="00CD0222"/>
    <w:rsid w:val="00CE61A6"/>
    <w:rsid w:val="00CF6E1D"/>
    <w:rsid w:val="00D40AFF"/>
    <w:rsid w:val="00D41CD1"/>
    <w:rsid w:val="00D42596"/>
    <w:rsid w:val="00D53114"/>
    <w:rsid w:val="00D55EC7"/>
    <w:rsid w:val="00DD1785"/>
    <w:rsid w:val="00DD6C7C"/>
    <w:rsid w:val="00DE1E3A"/>
    <w:rsid w:val="00E066C9"/>
    <w:rsid w:val="00E812DB"/>
    <w:rsid w:val="00E97CB7"/>
    <w:rsid w:val="00EA5CF5"/>
    <w:rsid w:val="00EB0A29"/>
    <w:rsid w:val="00EC276D"/>
    <w:rsid w:val="00F235AA"/>
    <w:rsid w:val="00F439E1"/>
    <w:rsid w:val="00FB1D2A"/>
    <w:rsid w:val="00FB7E80"/>
    <w:rsid w:val="00FD247E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Trento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2.8959456760535249</c:v>
                </c:pt>
                <c:pt idx="1">
                  <c:v>47.373676852406632</c:v>
                </c:pt>
                <c:pt idx="2">
                  <c:v>38.206510884761336</c:v>
                </c:pt>
                <c:pt idx="3">
                  <c:v>11.52386658677851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layout>
        <c:manualLayout>
          <c:xMode val="edge"/>
          <c:yMode val="edge"/>
          <c:x val="0.34629795932543128"/>
          <c:y val="3.34201608541843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Trento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2.2197381028425425</c:v>
                </c:pt>
                <c:pt idx="1">
                  <c:v>30.102203768763975</c:v>
                </c:pt>
                <c:pt idx="2">
                  <c:v>51.628872564675824</c:v>
                </c:pt>
                <c:pt idx="3">
                  <c:v>16.049185563717664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Trento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2.5201881267193182</c:v>
                </c:pt>
                <c:pt idx="1">
                  <c:v>37.77620019522584</c:v>
                </c:pt>
                <c:pt idx="2">
                  <c:v>45.665098944005678</c:v>
                </c:pt>
                <c:pt idx="3">
                  <c:v>14.03851273404916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E5CA-FD27-4347-86DB-2C98E794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20</cp:revision>
  <dcterms:created xsi:type="dcterms:W3CDTF">2015-01-08T14:00:00Z</dcterms:created>
  <dcterms:modified xsi:type="dcterms:W3CDTF">2015-03-05T08:51:00Z</dcterms:modified>
</cp:coreProperties>
</file>